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C8" w:rsidRDefault="006C32C8" w:rsidP="003108BF">
      <w:pPr>
        <w:pStyle w:val="Risultato"/>
        <w:tabs>
          <w:tab w:val="left" w:pos="1418"/>
        </w:tabs>
        <w:ind w:left="567" w:right="-992"/>
        <w:jc w:val="both"/>
        <w:rPr>
          <w:b/>
          <w:sz w:val="32"/>
        </w:rPr>
      </w:pPr>
      <w:bookmarkStart w:id="0" w:name="_GoBack"/>
      <w:bookmarkEnd w:id="0"/>
    </w:p>
    <w:p w:rsidR="006C32C8" w:rsidRDefault="006C32C8" w:rsidP="003108BF">
      <w:pPr>
        <w:pStyle w:val="Risultato"/>
        <w:tabs>
          <w:tab w:val="left" w:pos="1418"/>
        </w:tabs>
        <w:ind w:left="567" w:right="-992"/>
        <w:jc w:val="both"/>
        <w:rPr>
          <w:sz w:val="36"/>
        </w:rPr>
      </w:pPr>
      <w:r>
        <w:rPr>
          <w:b/>
          <w:sz w:val="36"/>
        </w:rPr>
        <w:t>Gianpaolo Fontana</w:t>
      </w:r>
    </w:p>
    <w:p w:rsidR="006C32C8" w:rsidRDefault="006C32C8" w:rsidP="003108BF">
      <w:pPr>
        <w:pStyle w:val="Risultato"/>
        <w:tabs>
          <w:tab w:val="left" w:pos="1418"/>
        </w:tabs>
        <w:ind w:left="567" w:right="-992"/>
        <w:jc w:val="both"/>
        <w:rPr>
          <w:b/>
          <w:sz w:val="28"/>
        </w:rPr>
      </w:pPr>
      <w:r>
        <w:rPr>
          <w:b/>
          <w:sz w:val="28"/>
        </w:rPr>
        <w:t>Dati personali</w:t>
      </w:r>
    </w:p>
    <w:p w:rsidR="006C32C8" w:rsidRDefault="006C32C8" w:rsidP="003108BF">
      <w:pPr>
        <w:pStyle w:val="Risultato"/>
        <w:tabs>
          <w:tab w:val="left" w:pos="1418"/>
        </w:tabs>
        <w:ind w:left="567" w:right="-992"/>
        <w:jc w:val="both"/>
      </w:pPr>
      <w:r>
        <w:t>Luogo di nascita: Frosinone</w:t>
      </w:r>
    </w:p>
    <w:p w:rsidR="006C32C8" w:rsidRDefault="006C32C8" w:rsidP="003108BF">
      <w:pPr>
        <w:pStyle w:val="Risultato"/>
        <w:tabs>
          <w:tab w:val="left" w:pos="1418"/>
        </w:tabs>
        <w:ind w:left="567" w:right="-992"/>
        <w:jc w:val="both"/>
      </w:pPr>
      <w:r>
        <w:t>Data di nascita: 15/IX/1970</w:t>
      </w:r>
    </w:p>
    <w:p w:rsidR="006C32C8" w:rsidRDefault="00B01D61" w:rsidP="003108BF">
      <w:pPr>
        <w:pStyle w:val="Risultato"/>
        <w:tabs>
          <w:tab w:val="left" w:pos="1418"/>
        </w:tabs>
        <w:ind w:left="567" w:right="-992"/>
        <w:jc w:val="both"/>
      </w:pPr>
      <w:r>
        <w:t xml:space="preserve">E-mail: </w:t>
      </w:r>
      <w:r w:rsidR="006C32C8">
        <w:t xml:space="preserve"> </w:t>
      </w:r>
      <w:hyperlink r:id="rId7" w:history="1">
        <w:r w:rsidR="00373D01" w:rsidRPr="0002558C">
          <w:rPr>
            <w:rStyle w:val="Collegamentoipertestuale"/>
          </w:rPr>
          <w:t>gianpaolo.fontana@uniroma3.it</w:t>
        </w:r>
      </w:hyperlink>
    </w:p>
    <w:p w:rsidR="00D62922" w:rsidRPr="00D62922" w:rsidRDefault="00A678AA" w:rsidP="00D62922">
      <w:pPr>
        <w:pStyle w:val="Risultato"/>
        <w:tabs>
          <w:tab w:val="left" w:pos="1418"/>
        </w:tabs>
        <w:ind w:left="567"/>
        <w:jc w:val="both"/>
        <w:rPr>
          <w:b/>
        </w:rPr>
      </w:pPr>
      <w:r>
        <w:rPr>
          <w:b/>
        </w:rPr>
        <w:t xml:space="preserve">Inquadramento accademico e responsabilità accademiche attuali </w:t>
      </w:r>
    </w:p>
    <w:p w:rsidR="00D62922" w:rsidRDefault="00D62922" w:rsidP="00D62922">
      <w:pPr>
        <w:pStyle w:val="Risultato"/>
        <w:tabs>
          <w:tab w:val="left" w:pos="1418"/>
        </w:tabs>
        <w:ind w:left="567"/>
        <w:jc w:val="both"/>
      </w:pPr>
      <w:r w:rsidRPr="007203AA">
        <w:t>Professore associato</w:t>
      </w:r>
      <w:r>
        <w:t xml:space="preserve"> in diritto </w:t>
      </w:r>
      <w:proofErr w:type="gramStart"/>
      <w:r>
        <w:t xml:space="preserve">costituzionale </w:t>
      </w:r>
      <w:r w:rsidRPr="007203AA">
        <w:t xml:space="preserve"> presso</w:t>
      </w:r>
      <w:proofErr w:type="gramEnd"/>
      <w:r w:rsidRPr="007203AA">
        <w:t xml:space="preserve"> il Dipartimento di Giurisprudenza dell’Univer</w:t>
      </w:r>
      <w:r>
        <w:t>sità Roma Tre.</w:t>
      </w:r>
    </w:p>
    <w:p w:rsidR="00A678AA" w:rsidRDefault="00A678AA" w:rsidP="00D62922">
      <w:pPr>
        <w:pStyle w:val="Risultato"/>
        <w:tabs>
          <w:tab w:val="left" w:pos="1418"/>
        </w:tabs>
        <w:ind w:left="567"/>
        <w:jc w:val="both"/>
      </w:pPr>
      <w:r>
        <w:t xml:space="preserve">Dal gennaio 2020 è componente della commissione didattica del Dipartimento di giurisprudenza nonché responsabile del Corso di Studi triennale in servizi giuridici L-14 presso il medesimo dipartimento.  </w:t>
      </w:r>
    </w:p>
    <w:p w:rsidR="00D41D9B" w:rsidRPr="00D41D9B" w:rsidRDefault="00D41D9B" w:rsidP="00D62922">
      <w:pPr>
        <w:pStyle w:val="Risultato"/>
        <w:tabs>
          <w:tab w:val="left" w:pos="1418"/>
        </w:tabs>
        <w:ind w:left="567"/>
        <w:jc w:val="both"/>
        <w:rPr>
          <w:b/>
        </w:rPr>
      </w:pPr>
      <w:r w:rsidRPr="00D41D9B">
        <w:rPr>
          <w:b/>
        </w:rPr>
        <w:t>Abilitazioni</w:t>
      </w:r>
      <w:r>
        <w:rPr>
          <w:b/>
        </w:rPr>
        <w:t xml:space="preserve"> conseguite ed</w:t>
      </w:r>
      <w:r w:rsidRPr="00D41D9B">
        <w:rPr>
          <w:b/>
        </w:rPr>
        <w:t xml:space="preserve"> in corso</w:t>
      </w:r>
    </w:p>
    <w:p w:rsidR="00D41D9B" w:rsidRDefault="00D41D9B" w:rsidP="00D41D9B">
      <w:pPr>
        <w:pStyle w:val="Risultato"/>
        <w:tabs>
          <w:tab w:val="left" w:pos="1418"/>
        </w:tabs>
        <w:ind w:left="567"/>
        <w:jc w:val="both"/>
      </w:pPr>
      <w:r>
        <w:t>Abilitato all’insegnamento universitario per la I fascia di docenza nel settore concorsuale 12/C1</w:t>
      </w:r>
      <w:r w:rsidR="004349C0">
        <w:t xml:space="preserve"> (Diritto </w:t>
      </w:r>
      <w:proofErr w:type="gramStart"/>
      <w:r w:rsidR="004349C0">
        <w:t>costituzionale)  nel</w:t>
      </w:r>
      <w:proofErr w:type="gramEnd"/>
      <w:r>
        <w:t xml:space="preserve"> IV  quadrimestre d</w:t>
      </w:r>
      <w:r w:rsidR="004349C0">
        <w:t xml:space="preserve">ella tornata </w:t>
      </w:r>
      <w:r>
        <w:t>dell'anno 2020 (con decorrenza 10.07.2020 e scadenza 10.07.2029).</w:t>
      </w:r>
    </w:p>
    <w:p w:rsidR="006C32C8" w:rsidRPr="00D62922" w:rsidRDefault="006C32C8" w:rsidP="00D62922">
      <w:pPr>
        <w:pStyle w:val="Risultato"/>
        <w:tabs>
          <w:tab w:val="left" w:pos="1418"/>
        </w:tabs>
        <w:ind w:left="567"/>
        <w:jc w:val="both"/>
      </w:pPr>
      <w:r>
        <w:rPr>
          <w:b/>
          <w:sz w:val="28"/>
        </w:rPr>
        <w:t>Titoli di studio, accademici</w:t>
      </w:r>
      <w:r w:rsidR="001A5F10">
        <w:rPr>
          <w:b/>
          <w:sz w:val="28"/>
        </w:rPr>
        <w:t xml:space="preserve"> </w:t>
      </w:r>
      <w:r>
        <w:rPr>
          <w:b/>
          <w:sz w:val="28"/>
        </w:rPr>
        <w:t>e professionali.</w:t>
      </w:r>
    </w:p>
    <w:p w:rsidR="007B0B03" w:rsidRDefault="006C32C8" w:rsidP="00D62922">
      <w:pPr>
        <w:pStyle w:val="Risultato"/>
        <w:tabs>
          <w:tab w:val="left" w:pos="1418"/>
        </w:tabs>
        <w:ind w:left="567"/>
        <w:jc w:val="both"/>
      </w:pPr>
      <w:r>
        <w:t>Diploma di maturità classica conse</w:t>
      </w:r>
      <w:r w:rsidR="000D2C1B">
        <w:t xml:space="preserve">guito presso il Liceo Classico </w:t>
      </w:r>
      <w:r>
        <w:t>No</w:t>
      </w:r>
      <w:r w:rsidR="00FE34DA">
        <w:t xml:space="preserve">rberto </w:t>
      </w:r>
      <w:proofErr w:type="spellStart"/>
      <w:r w:rsidR="00FE34DA">
        <w:t>Turriziani</w:t>
      </w:r>
      <w:proofErr w:type="spellEnd"/>
      <w:r w:rsidR="00FE34DA">
        <w:t xml:space="preserve"> di Frosinone. L</w:t>
      </w:r>
      <w:r>
        <w:t>aurea (conseguita il 25/1/1996) in Giurisprudenza all’U</w:t>
      </w:r>
      <w:r w:rsidR="007B0B03">
        <w:t xml:space="preserve">niversità “La </w:t>
      </w:r>
      <w:proofErr w:type="gramStart"/>
      <w:r w:rsidR="007B0B03">
        <w:t>Sapienza“ di</w:t>
      </w:r>
      <w:proofErr w:type="gramEnd"/>
      <w:r w:rsidR="007B0B03">
        <w:t xml:space="preserve"> Roma.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>Il 5 giugno 2002 ha conseguito il titolo di dottore di ricerca in diritto costituzionale e diritto pubblico generale (XIII ciclo) presso la facoltà di Giur</w:t>
      </w:r>
      <w:r w:rsidR="004A582C">
        <w:t xml:space="preserve">isprudenza </w:t>
      </w:r>
      <w:proofErr w:type="gramStart"/>
      <w:r w:rsidR="004A582C">
        <w:t>dell’ Università</w:t>
      </w:r>
      <w:proofErr w:type="gramEnd"/>
      <w:r w:rsidR="004A582C">
        <w:t xml:space="preserve"> </w:t>
      </w:r>
      <w:r w:rsidR="00FE34DA">
        <w:t>Sapienza</w:t>
      </w:r>
      <w:r w:rsidR="001A5F10">
        <w:t xml:space="preserve"> </w:t>
      </w:r>
      <w:r>
        <w:t>di Roma.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>Dal 4 dicembre 2002 all’ottobre</w:t>
      </w:r>
      <w:r w:rsidR="001A5F10">
        <w:t xml:space="preserve"> </w:t>
      </w:r>
      <w:r>
        <w:t>2003</w:t>
      </w:r>
      <w:r w:rsidR="001A5F10">
        <w:t xml:space="preserve"> </w:t>
      </w:r>
      <w:r>
        <w:t>è</w:t>
      </w:r>
      <w:r w:rsidR="001A5F10">
        <w:t xml:space="preserve"> </w:t>
      </w:r>
      <w:r>
        <w:t>stato assegnista di ricerca presso il Dipartimento di Scienze Giuridiche Pubblicistiche della Facoltà di Giurisprudenza dell’Università degli Studi di Teramo.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 xml:space="preserve">Nell’ottobre del 2003 è risultato primo vincitore della borsa annuale di studio intestata a Temistocle Martines erogata dal CNR- </w:t>
      </w:r>
      <w:proofErr w:type="spellStart"/>
      <w:r>
        <w:t>ISSiRFA</w:t>
      </w:r>
      <w:proofErr w:type="spellEnd"/>
      <w:r>
        <w:t xml:space="preserve"> (ex Istituto regioni).</w:t>
      </w:r>
    </w:p>
    <w:p w:rsidR="006C32C8" w:rsidRDefault="006C32C8" w:rsidP="003108BF">
      <w:pPr>
        <w:pStyle w:val="Risultato"/>
        <w:ind w:left="567"/>
        <w:jc w:val="both"/>
        <w:rPr>
          <w:bCs/>
        </w:rPr>
      </w:pPr>
      <w:r>
        <w:rPr>
          <w:bCs/>
        </w:rPr>
        <w:t>E’ stato coordinatore organizzativo del gruppo di ricerca sulle “Trasformazio</w:t>
      </w:r>
      <w:r w:rsidR="00C357A7">
        <w:rPr>
          <w:bCs/>
        </w:rPr>
        <w:t xml:space="preserve">ni della funzione legislativa” </w:t>
      </w:r>
      <w:r>
        <w:rPr>
          <w:bCs/>
        </w:rPr>
        <w:t>negli anni 2002 e 2003 nell’ ambito del</w:t>
      </w:r>
      <w:r w:rsidR="001A5F10">
        <w:rPr>
          <w:bCs/>
        </w:rPr>
        <w:t xml:space="preserve"> </w:t>
      </w:r>
      <w:r>
        <w:rPr>
          <w:bCs/>
        </w:rPr>
        <w:t>quale sono state realizzate le seguenti pubblicazioni curate dai proff. Franco Modugno e Paolo Carnevale: AA.VV., “</w:t>
      </w:r>
      <w:r>
        <w:rPr>
          <w:bCs/>
          <w:i/>
        </w:rPr>
        <w:t>Nuovi rapporti Stato- Regione dopo la legge costituzionale n. 3 del 2001</w:t>
      </w:r>
      <w:r w:rsidR="007A7838">
        <w:rPr>
          <w:bCs/>
        </w:rPr>
        <w:t>, I, Milano, 2003 nonché AA.VV.</w:t>
      </w:r>
      <w:r>
        <w:rPr>
          <w:bCs/>
        </w:rPr>
        <w:t xml:space="preserve">, </w:t>
      </w:r>
      <w:r>
        <w:rPr>
          <w:bCs/>
          <w:i/>
        </w:rPr>
        <w:t>Trasformazioni della funzione legislativa, III.1,</w:t>
      </w:r>
      <w:r w:rsidR="001A5F10">
        <w:rPr>
          <w:bCs/>
          <w:i/>
        </w:rPr>
        <w:t xml:space="preserve"> </w:t>
      </w:r>
      <w:r>
        <w:rPr>
          <w:bCs/>
          <w:i/>
        </w:rPr>
        <w:t>Rilevanti novità in tema di fonti del diritto dopo la riforma del Titolo V della II parte della costituzione,</w:t>
      </w:r>
      <w:r>
        <w:rPr>
          <w:bCs/>
        </w:rPr>
        <w:t xml:space="preserve"> Milano, 2003.</w:t>
      </w:r>
      <w:r w:rsidR="006034A6">
        <w:rPr>
          <w:bCs/>
        </w:rPr>
        <w:t xml:space="preserve"> </w:t>
      </w:r>
      <w:r>
        <w:rPr>
          <w:bCs/>
        </w:rPr>
        <w:t xml:space="preserve"> </w:t>
      </w:r>
    </w:p>
    <w:p w:rsidR="006C32C8" w:rsidRDefault="00E71936" w:rsidP="003108BF">
      <w:pPr>
        <w:pStyle w:val="Risultato"/>
        <w:tabs>
          <w:tab w:val="left" w:pos="1418"/>
        </w:tabs>
        <w:ind w:left="567"/>
        <w:jc w:val="both"/>
      </w:pPr>
      <w:r>
        <w:t>Dal 2005 al 2011</w:t>
      </w:r>
      <w:r w:rsidR="006C32C8">
        <w:t xml:space="preserve"> </w:t>
      </w:r>
      <w:r>
        <w:t xml:space="preserve">ha </w:t>
      </w:r>
      <w:r w:rsidR="006C32C8">
        <w:t>collabora</w:t>
      </w:r>
      <w:r w:rsidR="00C357A7">
        <w:t>to</w:t>
      </w:r>
      <w:r w:rsidR="006C32C8">
        <w:t xml:space="preserve"> con il CNR – </w:t>
      </w:r>
      <w:proofErr w:type="spellStart"/>
      <w:r w:rsidR="006C32C8">
        <w:t>ISSiRFA</w:t>
      </w:r>
      <w:proofErr w:type="spellEnd"/>
      <w:r w:rsidR="006C32C8">
        <w:t>; nell’ambito di tale rapporto di collaborazione</w:t>
      </w:r>
      <w:r w:rsidR="001A5F10">
        <w:t xml:space="preserve"> </w:t>
      </w:r>
      <w:r w:rsidR="006C32C8">
        <w:t>ha</w:t>
      </w:r>
      <w:r w:rsidR="001A5F10">
        <w:t xml:space="preserve"> </w:t>
      </w:r>
      <w:r w:rsidR="006C32C8">
        <w:t>curato i capitoli dedicati alla Giurisprudenza</w:t>
      </w:r>
      <w:r w:rsidR="004A582C">
        <w:t xml:space="preserve"> amministrativa e consultiva</w:t>
      </w:r>
      <w:r w:rsidR="001A5F10">
        <w:t xml:space="preserve"> </w:t>
      </w:r>
      <w:r>
        <w:t>del II, III, IV,</w:t>
      </w:r>
      <w:r w:rsidR="006C32C8">
        <w:t xml:space="preserve"> V</w:t>
      </w:r>
      <w:r>
        <w:t xml:space="preserve"> e VI</w:t>
      </w:r>
      <w:r w:rsidR="001A5F10">
        <w:t xml:space="preserve"> </w:t>
      </w:r>
      <w:r w:rsidR="006C32C8">
        <w:rPr>
          <w:i/>
        </w:rPr>
        <w:t>Rapporto annuale sullo stato del regionalismo in Italia</w:t>
      </w:r>
      <w:r>
        <w:t xml:space="preserve"> (anni 2004-2010</w:t>
      </w:r>
      <w:r w:rsidR="006C32C8">
        <w:t xml:space="preserve">) editi dalla Giuffrè ed è </w:t>
      </w:r>
      <w:r w:rsidR="00203D1E">
        <w:t xml:space="preserve">stato </w:t>
      </w:r>
      <w:r w:rsidR="006C32C8">
        <w:t>responsabile della sezione di giurisprudenza amministrativa di interesse regionale</w:t>
      </w:r>
      <w:r w:rsidR="001A5F10">
        <w:t xml:space="preserve"> </w:t>
      </w:r>
      <w:r w:rsidR="006C32C8">
        <w:t>sul sito we</w:t>
      </w:r>
      <w:r w:rsidR="00203D1E">
        <w:t>b del medesimo Istituto del CNR dal 2003 al 2010.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 xml:space="preserve">Dal </w:t>
      </w:r>
      <w:proofErr w:type="gramStart"/>
      <w:r>
        <w:t>1 gennaio</w:t>
      </w:r>
      <w:proofErr w:type="gramEnd"/>
      <w:r>
        <w:t xml:space="preserve"> 2005 al settembre del 2006</w:t>
      </w:r>
      <w:r w:rsidR="00C357A7">
        <w:t xml:space="preserve"> è stato</w:t>
      </w:r>
      <w:r>
        <w:t xml:space="preserve"> assegnista di ricerca</w:t>
      </w:r>
      <w:r w:rsidR="001A5F10">
        <w:t xml:space="preserve"> </w:t>
      </w:r>
      <w:r>
        <w:t>presso la facoltà di Gi</w:t>
      </w:r>
      <w:r w:rsidR="004A582C">
        <w:t>urisprudenza dell’Università</w:t>
      </w:r>
      <w:r>
        <w:t xml:space="preserve"> Sapienza di Roma.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 xml:space="preserve">Dal </w:t>
      </w:r>
      <w:proofErr w:type="gramStart"/>
      <w:r>
        <w:t>1 ottobre</w:t>
      </w:r>
      <w:proofErr w:type="gramEnd"/>
      <w:r>
        <w:t xml:space="preserve"> 2006 è ricercatore in diritto costituzionale (IUS/08) presso la Facoltà di Giurisp</w:t>
      </w:r>
      <w:r w:rsidR="00D013E5">
        <w:t>rudenza dell’Università di Roma T</w:t>
      </w:r>
      <w:r w:rsidR="00C357A7">
        <w:t>re</w:t>
      </w:r>
      <w:r w:rsidR="00E32BD6">
        <w:t>.</w:t>
      </w:r>
    </w:p>
    <w:p w:rsidR="00350674" w:rsidRDefault="00350674" w:rsidP="003108BF">
      <w:pPr>
        <w:pStyle w:val="Risultato"/>
        <w:tabs>
          <w:tab w:val="left" w:pos="1418"/>
        </w:tabs>
        <w:ind w:left="567"/>
        <w:jc w:val="both"/>
      </w:pPr>
      <w:r>
        <w:t>Dal 2006 è componente del consigl</w:t>
      </w:r>
      <w:r w:rsidR="00963554">
        <w:t xml:space="preserve">io direttivo del Centro di Ricerca Interdipartimentale per gli. Studi Politico-costituzionali </w:t>
      </w:r>
      <w:r w:rsidR="00AB3F10">
        <w:t xml:space="preserve">di Legislazione comparata </w:t>
      </w:r>
      <w:r w:rsidR="00963554">
        <w:t>(C.R.I.S.P.E.L.)</w:t>
      </w:r>
      <w:r w:rsidR="001A5F10">
        <w:t xml:space="preserve"> </w:t>
      </w:r>
      <w:r w:rsidR="00AB3F10">
        <w:t>presso l’Università</w:t>
      </w:r>
      <w:r w:rsidR="001A5F10">
        <w:t xml:space="preserve"> </w:t>
      </w:r>
      <w:r w:rsidR="00AB3F10">
        <w:t>di Roma Tre.</w:t>
      </w:r>
    </w:p>
    <w:p w:rsidR="00065CAE" w:rsidRDefault="00350674" w:rsidP="003108BF">
      <w:pPr>
        <w:pStyle w:val="Risultato"/>
        <w:tabs>
          <w:tab w:val="left" w:pos="1418"/>
        </w:tabs>
        <w:ind w:left="567"/>
        <w:jc w:val="both"/>
      </w:pPr>
      <w:r>
        <w:lastRenderedPageBreak/>
        <w:t>Negli anni 2009, 2010, 2011</w:t>
      </w:r>
      <w:r w:rsidR="00B96E8C">
        <w:t>, 2012</w:t>
      </w:r>
      <w:r>
        <w:t xml:space="preserve"> è stato docente nell’ambito del</w:t>
      </w:r>
      <w:r w:rsidR="001A5F10">
        <w:t xml:space="preserve"> </w:t>
      </w:r>
      <w:r w:rsidR="00065CAE">
        <w:t>VI, VII</w:t>
      </w:r>
      <w:r w:rsidR="00B96E8C">
        <w:t>, VIII e IX</w:t>
      </w:r>
      <w:r w:rsidR="00065CAE">
        <w:t xml:space="preserve"> Corso di formazione e specializzazione in diritto ed organizzazione della funzione parlamentare promosso </w:t>
      </w:r>
      <w:r w:rsidR="00065CAE" w:rsidRPr="00065CAE">
        <w:rPr>
          <w:i/>
        </w:rPr>
        <w:t>dall’Associazione per le ricerche e gli studi sulla rappresentanza politica nelle</w:t>
      </w:r>
      <w:r w:rsidR="001A5F10">
        <w:rPr>
          <w:i/>
        </w:rPr>
        <w:t xml:space="preserve"> </w:t>
      </w:r>
      <w:r w:rsidR="00065CAE" w:rsidRPr="00065CAE">
        <w:rPr>
          <w:i/>
        </w:rPr>
        <w:t>assemblee elettive</w:t>
      </w:r>
      <w:r w:rsidR="00A32D8E">
        <w:rPr>
          <w:i/>
        </w:rPr>
        <w:t xml:space="preserve"> </w:t>
      </w:r>
      <w:r w:rsidR="00065CAE">
        <w:t>(ARSAE).</w:t>
      </w:r>
    </w:p>
    <w:p w:rsidR="00E32BD6" w:rsidRDefault="00F8593E" w:rsidP="00D62922">
      <w:pPr>
        <w:pStyle w:val="Risultato"/>
        <w:tabs>
          <w:tab w:val="left" w:pos="1418"/>
        </w:tabs>
        <w:ind w:left="567"/>
        <w:jc w:val="both"/>
      </w:pPr>
      <w:r>
        <w:t xml:space="preserve">Dal </w:t>
      </w:r>
      <w:proofErr w:type="gramStart"/>
      <w:r>
        <w:t>1 giugno</w:t>
      </w:r>
      <w:proofErr w:type="gramEnd"/>
      <w:r w:rsidR="007C45EC" w:rsidRPr="007C45EC">
        <w:t xml:space="preserve"> 2010 è ricercatore confermato in di</w:t>
      </w:r>
      <w:r w:rsidR="007A1BF7">
        <w:t xml:space="preserve">ritto costituzionale (IUS/08) </w:t>
      </w:r>
      <w:r w:rsidR="007C45EC" w:rsidRPr="007C45EC">
        <w:t>presso la Facoltà di Giurisprudenza dell’Università di Roma</w:t>
      </w:r>
      <w:r w:rsidR="00D013E5">
        <w:t xml:space="preserve"> </w:t>
      </w:r>
      <w:r w:rsidR="007C45EC" w:rsidRPr="007C45EC">
        <w:t>Tre</w:t>
      </w:r>
    </w:p>
    <w:p w:rsidR="00B96E8C" w:rsidRDefault="00E175B9" w:rsidP="003108BF">
      <w:pPr>
        <w:pStyle w:val="Risultato"/>
        <w:ind w:left="567"/>
        <w:jc w:val="both"/>
      </w:pPr>
      <w:proofErr w:type="gramStart"/>
      <w:r>
        <w:t>E’</w:t>
      </w:r>
      <w:proofErr w:type="gramEnd"/>
      <w:r>
        <w:t xml:space="preserve"> risultato abilitato quale professore associato (SSD 12C1 -</w:t>
      </w:r>
      <w:r w:rsidR="001A5F10">
        <w:t xml:space="preserve"> </w:t>
      </w:r>
      <w:r>
        <w:t>diritto costituzionale) nella proced</w:t>
      </w:r>
      <w:r w:rsidR="00F83A4E">
        <w:t xml:space="preserve">ura </w:t>
      </w:r>
      <w:proofErr w:type="spellStart"/>
      <w:r w:rsidR="00F83A4E">
        <w:t>Asn</w:t>
      </w:r>
      <w:proofErr w:type="spellEnd"/>
      <w:r w:rsidR="001A5F10">
        <w:t xml:space="preserve"> </w:t>
      </w:r>
      <w:r w:rsidR="00F83A4E">
        <w:t>indetta nell'anno 2012</w:t>
      </w:r>
      <w:r w:rsidR="00D62922">
        <w:t>.</w:t>
      </w:r>
    </w:p>
    <w:p w:rsidR="00D62922" w:rsidRDefault="00D62922" w:rsidP="00D62922">
      <w:pPr>
        <w:pStyle w:val="Risultato"/>
        <w:tabs>
          <w:tab w:val="left" w:pos="1418"/>
        </w:tabs>
        <w:ind w:left="567"/>
        <w:jc w:val="both"/>
      </w:pPr>
      <w:r>
        <w:t>Ha preso servizio come p</w:t>
      </w:r>
      <w:r w:rsidRPr="007203AA">
        <w:t>rofessore associato</w:t>
      </w:r>
      <w:r>
        <w:t xml:space="preserve"> in diritto </w:t>
      </w:r>
      <w:proofErr w:type="gramStart"/>
      <w:r>
        <w:t xml:space="preserve">costituzionale </w:t>
      </w:r>
      <w:r w:rsidRPr="007203AA">
        <w:t xml:space="preserve"> presso</w:t>
      </w:r>
      <w:proofErr w:type="gramEnd"/>
      <w:r w:rsidRPr="007203AA">
        <w:t xml:space="preserve"> il Dipartimento di Giurisprudenza dell’Università Roma Tre con decorrenza giuridico-stipendiale dal 2.11.2015</w:t>
      </w:r>
      <w:r w:rsidR="001877D9">
        <w:t>.</w:t>
      </w:r>
    </w:p>
    <w:p w:rsidR="0088047C" w:rsidRDefault="0088047C" w:rsidP="00D62922">
      <w:pPr>
        <w:pStyle w:val="Risultato"/>
        <w:tabs>
          <w:tab w:val="left" w:pos="1418"/>
        </w:tabs>
        <w:ind w:left="567"/>
        <w:jc w:val="both"/>
      </w:pPr>
      <w:r>
        <w:t>Dal giugno 2020 è coordinatore del corso di laurea triennale in Scienze dei servizi giuridici presso il Dipartimento di Giurisprudenza dell'Università Roma Tre.</w:t>
      </w:r>
    </w:p>
    <w:p w:rsidR="001877D9" w:rsidRDefault="001877D9" w:rsidP="00D62922">
      <w:pPr>
        <w:pStyle w:val="Risultato"/>
        <w:tabs>
          <w:tab w:val="left" w:pos="1418"/>
        </w:tabs>
        <w:ind w:left="567"/>
        <w:jc w:val="both"/>
      </w:pPr>
    </w:p>
    <w:p w:rsidR="00E175B9" w:rsidRPr="00E175B9" w:rsidRDefault="00D62922" w:rsidP="00D62922">
      <w:pPr>
        <w:pStyle w:val="Risultato"/>
        <w:tabs>
          <w:tab w:val="left" w:pos="1418"/>
        </w:tabs>
        <w:jc w:val="both"/>
        <w:rPr>
          <w:b/>
          <w:sz w:val="24"/>
          <w:szCs w:val="24"/>
        </w:rPr>
      </w:pPr>
      <w:r>
        <w:t xml:space="preserve">            </w:t>
      </w:r>
      <w:r w:rsidR="00E175B9" w:rsidRPr="00E175B9">
        <w:rPr>
          <w:b/>
          <w:sz w:val="24"/>
          <w:szCs w:val="24"/>
        </w:rPr>
        <w:t>Attività didattica ed</w:t>
      </w:r>
      <w:r w:rsidR="001A5F10">
        <w:rPr>
          <w:b/>
          <w:sz w:val="24"/>
          <w:szCs w:val="24"/>
        </w:rPr>
        <w:t xml:space="preserve"> </w:t>
      </w:r>
      <w:r w:rsidR="00A678AA">
        <w:rPr>
          <w:b/>
          <w:sz w:val="24"/>
          <w:szCs w:val="24"/>
        </w:rPr>
        <w:t>i</w:t>
      </w:r>
      <w:r w:rsidR="00416918" w:rsidRPr="00E175B9">
        <w:rPr>
          <w:b/>
          <w:sz w:val="24"/>
          <w:szCs w:val="24"/>
        </w:rPr>
        <w:t>ncarichi di insegnamento</w:t>
      </w:r>
      <w:r w:rsidR="00904CB3">
        <w:rPr>
          <w:b/>
          <w:sz w:val="24"/>
          <w:szCs w:val="24"/>
        </w:rPr>
        <w:t xml:space="preserve"> in Italia ed all’estero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 xml:space="preserve">Dall’A.A. 1996/1997 </w:t>
      </w:r>
      <w:r w:rsidR="00B153C9">
        <w:t xml:space="preserve">sino all’A.A. 2010-2011 ha </w:t>
      </w:r>
      <w:r>
        <w:t>collabora</w:t>
      </w:r>
      <w:r w:rsidR="00B153C9">
        <w:t>to</w:t>
      </w:r>
      <w:r>
        <w:t xml:space="preserve"> con la cattedra di diritto costituzionale (prof. F. Modugno) e con quella di</w:t>
      </w:r>
      <w:r w:rsidR="00B153C9">
        <w:t xml:space="preserve"> Teoria dell’interpretazione (prof. F. Modugno) presso </w:t>
      </w:r>
      <w:r>
        <w:t>la facoltà di Giurisprudenza dell’Università “La Sapienza” di Roma.</w:t>
      </w:r>
      <w:r w:rsidR="006034A6">
        <w:t xml:space="preserve"> </w:t>
      </w:r>
    </w:p>
    <w:p w:rsidR="006C32C8" w:rsidRDefault="006C32C8" w:rsidP="003108BF">
      <w:pPr>
        <w:pStyle w:val="Risultato"/>
        <w:tabs>
          <w:tab w:val="left" w:pos="1418"/>
        </w:tabs>
        <w:ind w:left="567"/>
        <w:jc w:val="both"/>
      </w:pPr>
      <w:r>
        <w:t>Dall’A.A. 1999-2000 sino all’A.A. 2005-2006 ha collabora</w:t>
      </w:r>
      <w:r w:rsidR="00790A1E">
        <w:t>to</w:t>
      </w:r>
      <w:r>
        <w:t xml:space="preserve"> con le cattedre di diritto pubbl</w:t>
      </w:r>
      <w:r w:rsidR="00790A1E">
        <w:t>ico dei proff. Massimo Luciani,</w:t>
      </w:r>
      <w:r w:rsidR="001A5F10">
        <w:t xml:space="preserve"> </w:t>
      </w:r>
      <w:r>
        <w:t>Giuseppe Ugo Rescigno e Giuseppe Morbidelli</w:t>
      </w:r>
      <w:r w:rsidR="001A5F10">
        <w:t xml:space="preserve"> </w:t>
      </w:r>
      <w:r>
        <w:t xml:space="preserve">della Facoltà di Giurisprudenza </w:t>
      </w:r>
      <w:proofErr w:type="gramStart"/>
      <w:r>
        <w:t>dell’ Università</w:t>
      </w:r>
      <w:proofErr w:type="gramEnd"/>
      <w:r>
        <w:t xml:space="preserve"> ”La Sapienza” di Roma.</w:t>
      </w:r>
    </w:p>
    <w:p w:rsidR="009718EE" w:rsidRDefault="009718EE" w:rsidP="003108BF">
      <w:pPr>
        <w:pStyle w:val="Risultato"/>
        <w:tabs>
          <w:tab w:val="left" w:pos="1418"/>
        </w:tabs>
        <w:ind w:left="567"/>
        <w:jc w:val="both"/>
      </w:pPr>
      <w:r>
        <w:t xml:space="preserve">Dall’A.A. 1999-2000 collabora, inoltre, all’attività didattica nell’ambito delle cattedre di diritto costituzionale (prof. A. </w:t>
      </w:r>
      <w:proofErr w:type="spellStart"/>
      <w:r>
        <w:t>Celotto</w:t>
      </w:r>
      <w:proofErr w:type="spellEnd"/>
      <w:r>
        <w:t>) e di diritto pubblico (</w:t>
      </w:r>
      <w:proofErr w:type="spellStart"/>
      <w:r>
        <w:t>proff.</w:t>
      </w:r>
      <w:r w:rsidR="00215BC7">
        <w:t>ri</w:t>
      </w:r>
      <w:proofErr w:type="spellEnd"/>
      <w:r w:rsidR="00215BC7">
        <w:t xml:space="preserve"> G. </w:t>
      </w:r>
      <w:proofErr w:type="spellStart"/>
      <w:r w:rsidR="00215BC7">
        <w:t>Serges</w:t>
      </w:r>
      <w:proofErr w:type="spellEnd"/>
      <w:r w:rsidR="00215BC7">
        <w:t xml:space="preserve"> e P. Carnevale) presso </w:t>
      </w:r>
      <w:r w:rsidR="00B153C9">
        <w:t>la facoltà di G</w:t>
      </w:r>
      <w:r w:rsidR="00215BC7">
        <w:t>iurisprudenza (ora dipartimento</w:t>
      </w:r>
      <w:r w:rsidR="00B153C9">
        <w:t xml:space="preserve"> di </w:t>
      </w:r>
      <w:proofErr w:type="gramStart"/>
      <w:r w:rsidR="00B153C9">
        <w:t xml:space="preserve">Giurisprudenza </w:t>
      </w:r>
      <w:r w:rsidR="00215BC7">
        <w:t>)</w:t>
      </w:r>
      <w:proofErr w:type="gramEnd"/>
      <w:r w:rsidR="00215BC7">
        <w:t xml:space="preserve"> del</w:t>
      </w:r>
      <w:r w:rsidR="005733A4">
        <w:t>l’Università</w:t>
      </w:r>
      <w:r w:rsidR="001A5F10">
        <w:t xml:space="preserve"> </w:t>
      </w:r>
      <w:r>
        <w:t>Roma</w:t>
      </w:r>
      <w:r w:rsidR="00215BC7">
        <w:t xml:space="preserve"> T</w:t>
      </w:r>
      <w:r>
        <w:t>re.</w:t>
      </w:r>
    </w:p>
    <w:p w:rsidR="00184DF1" w:rsidRPr="005605C0" w:rsidRDefault="00184DF1" w:rsidP="003108BF">
      <w:pPr>
        <w:pStyle w:val="Risultato"/>
        <w:tabs>
          <w:tab w:val="left" w:pos="1418"/>
        </w:tabs>
        <w:ind w:left="567"/>
        <w:jc w:val="both"/>
        <w:rPr>
          <w:bCs/>
        </w:rPr>
      </w:pPr>
      <w:r w:rsidRPr="005605C0">
        <w:rPr>
          <w:bCs/>
        </w:rPr>
        <w:t>Professore incaricato in Istituzioni di diritto pubblico (SD IUS/09)</w:t>
      </w:r>
      <w:r w:rsidR="001A5F10">
        <w:rPr>
          <w:bCs/>
        </w:rPr>
        <w:t xml:space="preserve"> </w:t>
      </w:r>
      <w:r w:rsidRPr="005605C0">
        <w:rPr>
          <w:bCs/>
        </w:rPr>
        <w:t>presso il corso di laurea in Economia aziendale dell’Università di Foggia- sede di S. Severo per gli Aa. Aa. 2003/2004,</w:t>
      </w:r>
      <w:r w:rsidR="001A5F10">
        <w:rPr>
          <w:bCs/>
        </w:rPr>
        <w:t xml:space="preserve"> </w:t>
      </w:r>
      <w:r w:rsidRPr="005605C0">
        <w:rPr>
          <w:bCs/>
        </w:rPr>
        <w:t xml:space="preserve">2004/2005, 2005/2006. </w:t>
      </w:r>
    </w:p>
    <w:p w:rsidR="00184DF1" w:rsidRDefault="00184DF1" w:rsidP="003108BF">
      <w:pPr>
        <w:pStyle w:val="Risultato"/>
        <w:tabs>
          <w:tab w:val="left" w:pos="1418"/>
        </w:tabs>
        <w:ind w:left="567"/>
        <w:jc w:val="both"/>
      </w:pPr>
      <w:r>
        <w:t>Dal 2003 al 2005</w:t>
      </w:r>
      <w:r w:rsidR="001A5F10">
        <w:t xml:space="preserve"> </w:t>
      </w:r>
      <w:r>
        <w:t>docente in diritto costituzionale presso la Scuola Allievi Ispettori della Polizia di Stato di Nettuno.</w:t>
      </w:r>
    </w:p>
    <w:p w:rsidR="00184DF1" w:rsidRDefault="00184DF1" w:rsidP="003108BF">
      <w:pPr>
        <w:pStyle w:val="Risultato"/>
        <w:tabs>
          <w:tab w:val="left" w:pos="1418"/>
        </w:tabs>
        <w:ind w:left="567"/>
        <w:jc w:val="both"/>
      </w:pPr>
      <w:r>
        <w:t>Dall’A</w:t>
      </w:r>
      <w:r w:rsidR="00A32D8E">
        <w:t>.A. 2002/2003 sino all’A. A 2014/2015</w:t>
      </w:r>
      <w:r>
        <w:t xml:space="preserve"> è stato docente presso il master di II livello in “</w:t>
      </w:r>
      <w:r>
        <w:rPr>
          <w:i/>
          <w:iCs/>
        </w:rPr>
        <w:t>Diritto dell’informatica. Teoria e tecnica della normazione</w:t>
      </w:r>
      <w:r>
        <w:t xml:space="preserve">” attivato presso l’Università Sapienza di Roma. </w:t>
      </w:r>
    </w:p>
    <w:p w:rsidR="00184DF1" w:rsidRDefault="00E32BD6" w:rsidP="003108BF">
      <w:pPr>
        <w:pStyle w:val="Risultato"/>
        <w:tabs>
          <w:tab w:val="left" w:pos="1418"/>
        </w:tabs>
        <w:ind w:left="567"/>
        <w:jc w:val="both"/>
      </w:pPr>
      <w:r>
        <w:t>Nel</w:t>
      </w:r>
      <w:r w:rsidR="00184DF1">
        <w:t>l’A A.2005/2006 è</w:t>
      </w:r>
      <w:r>
        <w:t xml:space="preserve"> stato</w:t>
      </w:r>
      <w:r w:rsidR="00184DF1">
        <w:t xml:space="preserve"> docente del Master di II Livello “</w:t>
      </w:r>
      <w:r w:rsidR="00184DF1">
        <w:rPr>
          <w:i/>
          <w:iCs/>
        </w:rPr>
        <w:t>Teoria e prassi delle istituzioni giuridiche</w:t>
      </w:r>
      <w:r w:rsidR="00184DF1">
        <w:t>”</w:t>
      </w:r>
      <w:r w:rsidR="001A5F10">
        <w:t xml:space="preserve"> </w:t>
      </w:r>
      <w:r w:rsidR="00184DF1">
        <w:t>attivato presso l’Università Sapienza di Roma.</w:t>
      </w:r>
    </w:p>
    <w:p w:rsidR="00790A1E" w:rsidRDefault="00790A1E" w:rsidP="003108BF">
      <w:pPr>
        <w:pStyle w:val="Risultato"/>
        <w:tabs>
          <w:tab w:val="left" w:pos="1418"/>
        </w:tabs>
        <w:ind w:left="567"/>
        <w:jc w:val="both"/>
      </w:pPr>
      <w:r>
        <w:t>Dall’A.A. 2005-2006 sino all’ A.A. 2011-2012 ha collaborato, inoltre, all’attività didattica nell’ambito della cattedra di diritto costituzionale</w:t>
      </w:r>
      <w:r w:rsidR="001A5F10">
        <w:t xml:space="preserve"> </w:t>
      </w:r>
      <w:r>
        <w:t>del prof. S.M. Ci</w:t>
      </w:r>
      <w:r w:rsidR="005733A4">
        <w:t>cconetti</w:t>
      </w:r>
      <w:r w:rsidR="001A5F10">
        <w:t xml:space="preserve"> </w:t>
      </w:r>
      <w:r w:rsidR="005733A4">
        <w:t>presso l’Università</w:t>
      </w:r>
      <w:r w:rsidR="001A5F10">
        <w:t xml:space="preserve"> </w:t>
      </w:r>
      <w:r>
        <w:t>Roma Tre</w:t>
      </w:r>
    </w:p>
    <w:p w:rsidR="00B153C9" w:rsidRDefault="009718EE" w:rsidP="003108BF">
      <w:pPr>
        <w:pStyle w:val="Risultato"/>
        <w:tabs>
          <w:tab w:val="left" w:pos="1418"/>
        </w:tabs>
        <w:ind w:left="567"/>
        <w:jc w:val="both"/>
      </w:pPr>
      <w:r>
        <w:t xml:space="preserve">Dall’A.A. 2006-2007 collabora </w:t>
      </w:r>
      <w:r w:rsidR="00416918">
        <w:t xml:space="preserve">all’attività </w:t>
      </w:r>
      <w:r>
        <w:t xml:space="preserve">didattica nell’ambito </w:t>
      </w:r>
      <w:proofErr w:type="gramStart"/>
      <w:r>
        <w:t>della</w:t>
      </w:r>
      <w:r w:rsidR="00416918">
        <w:t xml:space="preserve"> cattedre</w:t>
      </w:r>
      <w:proofErr w:type="gramEnd"/>
      <w:r w:rsidR="00416918">
        <w:t xml:space="preserve"> di diritto costitu</w:t>
      </w:r>
      <w:r w:rsidR="00215BC7">
        <w:t>zionale del</w:t>
      </w:r>
      <w:r>
        <w:t xml:space="preserve"> prof. M. Ruotolo</w:t>
      </w:r>
      <w:r w:rsidR="00B153C9">
        <w:t xml:space="preserve"> presso la facoltà di Giurisprudenza (ora</w:t>
      </w:r>
      <w:r w:rsidR="00545197">
        <w:t xml:space="preserve"> dipartimento di Giurisprudenza</w:t>
      </w:r>
      <w:r w:rsidR="005733A4">
        <w:t>)</w:t>
      </w:r>
      <w:r w:rsidR="001A5F10">
        <w:t xml:space="preserve"> </w:t>
      </w:r>
      <w:r w:rsidR="005733A4">
        <w:t xml:space="preserve">dell’Università </w:t>
      </w:r>
      <w:r w:rsidR="00B153C9">
        <w:t>Roma Tre.</w:t>
      </w:r>
    </w:p>
    <w:p w:rsidR="00B153C9" w:rsidRDefault="009718EE" w:rsidP="003108BF">
      <w:pPr>
        <w:pStyle w:val="Risultato"/>
        <w:tabs>
          <w:tab w:val="left" w:pos="1418"/>
        </w:tabs>
        <w:ind w:left="567"/>
        <w:jc w:val="both"/>
      </w:pPr>
      <w:r>
        <w:t>Dall’ A.A. 2010-2011</w:t>
      </w:r>
      <w:r w:rsidRPr="009718EE">
        <w:t xml:space="preserve"> </w:t>
      </w:r>
      <w:r>
        <w:t>collabora all’attività didattica nell’ambito della</w:t>
      </w:r>
      <w:r w:rsidR="00215BC7">
        <w:t xml:space="preserve"> cattedra di Istituzioni di diritto pubblico del prof. C.</w:t>
      </w:r>
      <w:r>
        <w:t xml:space="preserve"> </w:t>
      </w:r>
      <w:proofErr w:type="spellStart"/>
      <w:r w:rsidR="00215BC7">
        <w:t>Colapietro</w:t>
      </w:r>
      <w:proofErr w:type="spellEnd"/>
      <w:r w:rsidR="00B153C9">
        <w:t xml:space="preserve"> presso</w:t>
      </w:r>
      <w:r w:rsidR="001A5F10">
        <w:t xml:space="preserve"> il dip.to</w:t>
      </w:r>
      <w:r w:rsidR="00545197">
        <w:t xml:space="preserve"> di Giurisprudenza (</w:t>
      </w:r>
      <w:r w:rsidR="00B153C9">
        <w:t>già facoltà di Giur</w:t>
      </w:r>
      <w:r w:rsidR="008F11D2">
        <w:t>isprudenza</w:t>
      </w:r>
      <w:r w:rsidR="005733A4">
        <w:t>)</w:t>
      </w:r>
      <w:r w:rsidR="001A5F10">
        <w:t xml:space="preserve"> </w:t>
      </w:r>
      <w:r w:rsidR="005733A4">
        <w:t xml:space="preserve">dell’Università </w:t>
      </w:r>
      <w:r w:rsidR="00B153C9">
        <w:t>Roma Tre.</w:t>
      </w:r>
    </w:p>
    <w:p w:rsidR="009718EE" w:rsidRDefault="009718EE" w:rsidP="003108BF">
      <w:pPr>
        <w:pStyle w:val="Risultato"/>
        <w:tabs>
          <w:tab w:val="left" w:pos="1418"/>
        </w:tabs>
        <w:ind w:left="567"/>
        <w:jc w:val="both"/>
      </w:pPr>
      <w:r>
        <w:t>Dall’ A.A. 20</w:t>
      </w:r>
      <w:r w:rsidR="00215BC7">
        <w:t>13</w:t>
      </w:r>
      <w:r>
        <w:t>-201</w:t>
      </w:r>
      <w:r w:rsidR="00215BC7">
        <w:t>4</w:t>
      </w:r>
      <w:r w:rsidR="00A710E8">
        <w:t xml:space="preserve"> sino all’AA. 2014-2015</w:t>
      </w:r>
      <w:r w:rsidRPr="009718EE">
        <w:t xml:space="preserve"> </w:t>
      </w:r>
      <w:r w:rsidR="00A710E8">
        <w:t xml:space="preserve">ha </w:t>
      </w:r>
      <w:r>
        <w:t>collabora</w:t>
      </w:r>
      <w:r w:rsidR="00A710E8">
        <w:t>to</w:t>
      </w:r>
      <w:r>
        <w:t xml:space="preserve"> all’attività didattica nell’ambito </w:t>
      </w:r>
      <w:proofErr w:type="gramStart"/>
      <w:r>
        <w:t>della cattedre</w:t>
      </w:r>
      <w:proofErr w:type="gramEnd"/>
      <w:r>
        <w:t xml:space="preserve"> di diritto </w:t>
      </w:r>
      <w:r w:rsidR="00215BC7">
        <w:t xml:space="preserve">processuale </w:t>
      </w:r>
      <w:r>
        <w:t>costitu</w:t>
      </w:r>
      <w:r w:rsidR="00215BC7">
        <w:t>zionale del prof. F. Modugno</w:t>
      </w:r>
      <w:r w:rsidR="00B153C9">
        <w:t xml:space="preserve"> presso il dipartimento di Giurisprudenza dell’Università di Roma Tre.</w:t>
      </w:r>
    </w:p>
    <w:p w:rsidR="00C065CA" w:rsidRDefault="00651CC2" w:rsidP="003108BF">
      <w:pPr>
        <w:pStyle w:val="Risultato"/>
        <w:tabs>
          <w:tab w:val="left" w:pos="1418"/>
        </w:tabs>
        <w:ind w:left="567"/>
        <w:jc w:val="both"/>
      </w:pPr>
      <w:r>
        <w:lastRenderedPageBreak/>
        <w:t>Negli A</w:t>
      </w:r>
      <w:r w:rsidR="00A92D6D">
        <w:t>A</w:t>
      </w:r>
      <w:r>
        <w:t>.A</w:t>
      </w:r>
      <w:r w:rsidR="00A92D6D">
        <w:t>A</w:t>
      </w:r>
      <w:r>
        <w:t>. 2011-2012,</w:t>
      </w:r>
      <w:r w:rsidR="00C065CA">
        <w:t xml:space="preserve"> 2012-2013</w:t>
      </w:r>
      <w:r w:rsidR="001A5F10">
        <w:t xml:space="preserve"> </w:t>
      </w:r>
      <w:r>
        <w:t xml:space="preserve">e </w:t>
      </w:r>
      <w:r w:rsidR="00A933FF">
        <w:t xml:space="preserve">2014-2015 </w:t>
      </w:r>
      <w:r w:rsidR="00C065CA">
        <w:t>è stato docen</w:t>
      </w:r>
      <w:r w:rsidR="00BD4FD2">
        <w:t>te nel Master di II livello in “Federalismo fiscale e sussidiarietà” presso la</w:t>
      </w:r>
      <w:r w:rsidR="00C065CA">
        <w:t xml:space="preserve"> Sapienza</w:t>
      </w:r>
      <w:r w:rsidR="00BD4FD2">
        <w:t xml:space="preserve"> Università di Roma</w:t>
      </w:r>
      <w:r w:rsidR="00C065CA">
        <w:t>,</w:t>
      </w:r>
      <w:r w:rsidR="001A5F10">
        <w:t xml:space="preserve"> </w:t>
      </w:r>
      <w:r w:rsidR="00C065CA">
        <w:t>diretto</w:t>
      </w:r>
      <w:r w:rsidR="001A5F10">
        <w:t xml:space="preserve"> </w:t>
      </w:r>
      <w:r w:rsidR="00C065CA">
        <w:t>dal prof. B. Caravita.</w:t>
      </w:r>
    </w:p>
    <w:p w:rsidR="00E175B9" w:rsidRDefault="00416918" w:rsidP="003108BF">
      <w:pPr>
        <w:pStyle w:val="Risultato"/>
        <w:ind w:left="567"/>
        <w:jc w:val="both"/>
      </w:pPr>
      <w:r>
        <w:t>Negli AA.AA. 2012/2013 e 2013/2014</w:t>
      </w:r>
      <w:r w:rsidR="00C065CA">
        <w:t xml:space="preserve"> ha tenuto i</w:t>
      </w:r>
      <w:r>
        <w:t>l corso di diritto parlamentare presso la facoltà di Scienze poli</w:t>
      </w:r>
      <w:r w:rsidR="00C065CA">
        <w:t>tiche dell'Università Roma Tre.</w:t>
      </w:r>
    </w:p>
    <w:p w:rsidR="00416918" w:rsidRDefault="00416918" w:rsidP="003108BF">
      <w:pPr>
        <w:pStyle w:val="Risultato"/>
        <w:ind w:left="567"/>
        <w:jc w:val="both"/>
      </w:pPr>
      <w:r>
        <w:t xml:space="preserve">Nell'A.A. 2013/2014 </w:t>
      </w:r>
      <w:r w:rsidR="00C065CA">
        <w:t>nella qualità di professore aggregato ha tenuto il</w:t>
      </w:r>
      <w:r>
        <w:t xml:space="preserve"> corso di diritto costituzionale regionale presso il dip.to di Giurisprudenza dell'Università Roma Tre</w:t>
      </w:r>
    </w:p>
    <w:p w:rsidR="002528E1" w:rsidRDefault="002528E1" w:rsidP="003108BF">
      <w:pPr>
        <w:pStyle w:val="Risultato"/>
        <w:ind w:left="567"/>
        <w:jc w:val="both"/>
      </w:pPr>
      <w:r>
        <w:t>Nell’A.A. 2014/2015 nella qualità di professore aggregato ha tenuto il corso di diritto costituzionale (</w:t>
      </w:r>
      <w:r w:rsidR="00A933FF">
        <w:t xml:space="preserve">corso di laurea LMG01- </w:t>
      </w:r>
      <w:r>
        <w:t>canale E-O)</w:t>
      </w:r>
      <w:r w:rsidRPr="002528E1">
        <w:t xml:space="preserve"> </w:t>
      </w:r>
      <w:r>
        <w:t>presso il dip.to di Giurisprudenza dell'Università Roma Tre</w:t>
      </w:r>
    </w:p>
    <w:p w:rsidR="00D62922" w:rsidRDefault="00391743" w:rsidP="00D62922">
      <w:pPr>
        <w:pStyle w:val="Risultato"/>
        <w:ind w:left="567"/>
        <w:jc w:val="both"/>
      </w:pPr>
      <w:r>
        <w:t>Nell</w:t>
      </w:r>
      <w:r w:rsidR="00D62922">
        <w:t>’A.A. 2015/2016 nella qualità di professore associato ha tenuto il corso di diritto costituzionale (corso di laurea LMG01- canale E-O)</w:t>
      </w:r>
      <w:r w:rsidR="00D62922" w:rsidRPr="002528E1">
        <w:t xml:space="preserve"> </w:t>
      </w:r>
      <w:r w:rsidR="00D62922">
        <w:t>presso il dip.to di Giurisprude</w:t>
      </w:r>
      <w:r w:rsidR="000F2599">
        <w:t>nza dell'Università Roma Tre.</w:t>
      </w:r>
    </w:p>
    <w:p w:rsidR="00391743" w:rsidRDefault="00391743" w:rsidP="00391743">
      <w:pPr>
        <w:pStyle w:val="Risultato"/>
        <w:ind w:left="567"/>
        <w:jc w:val="both"/>
      </w:pPr>
      <w:r>
        <w:t>Nell’A.A. 2016/2017 nella qualità di professore associato ha tenuto il corso di diritto costituzionale (corso di laurea LMG01- canale E-O)</w:t>
      </w:r>
      <w:r w:rsidRPr="002528E1">
        <w:t xml:space="preserve"> </w:t>
      </w:r>
      <w:r>
        <w:t>presso il dip.to di Giurisprudenza dell'Università Roma Tre.</w:t>
      </w:r>
    </w:p>
    <w:p w:rsidR="00391743" w:rsidRDefault="00391743" w:rsidP="00391743">
      <w:pPr>
        <w:pStyle w:val="Risultato"/>
        <w:ind w:left="567"/>
        <w:jc w:val="both"/>
      </w:pPr>
      <w:r>
        <w:t>Nell’A.A. 2017/2018 nella qualità di professore associato ha tenuto il corso di diritto costituzionale (corso di laurea LMG01- canale E-O)</w:t>
      </w:r>
      <w:r w:rsidRPr="002528E1">
        <w:t xml:space="preserve"> </w:t>
      </w:r>
      <w:r>
        <w:t>presso il dip.to di Giurisprudenza dell'Università Roma Tre.</w:t>
      </w:r>
    </w:p>
    <w:p w:rsidR="00391743" w:rsidRDefault="00391743" w:rsidP="00391743">
      <w:pPr>
        <w:pStyle w:val="Risultato"/>
        <w:ind w:left="567"/>
        <w:jc w:val="both"/>
      </w:pPr>
      <w:r>
        <w:t xml:space="preserve">Nell’A.A. 2015/2016 ha ottenuto l’incarico di insegnamento in diritto processuale costituzionale in sostituzione del Prof. Franco Modugno in seguito alla elezione di quest’ultimo presso la Corte costituzionale. </w:t>
      </w:r>
    </w:p>
    <w:p w:rsidR="000F2599" w:rsidRDefault="000F2599" w:rsidP="000F2599">
      <w:pPr>
        <w:pStyle w:val="Risultato"/>
        <w:ind w:left="567"/>
        <w:jc w:val="both"/>
      </w:pPr>
      <w:r>
        <w:t xml:space="preserve">Nell’A.A. 2015/2016 nella qualità di professore associato ha tenuto il corso di diritto costituzionale </w:t>
      </w:r>
      <w:proofErr w:type="gramStart"/>
      <w:r>
        <w:t>regionale  (</w:t>
      </w:r>
      <w:proofErr w:type="gramEnd"/>
      <w:r>
        <w:t>corso di laurea LMG01- canale A-Z)</w:t>
      </w:r>
      <w:r w:rsidRPr="002528E1">
        <w:t xml:space="preserve"> </w:t>
      </w:r>
      <w:r>
        <w:t>presso il dip.to di Giurisprudenza dell'Università Roma Tre.</w:t>
      </w:r>
    </w:p>
    <w:p w:rsidR="00391743" w:rsidRDefault="00391743" w:rsidP="00391743">
      <w:pPr>
        <w:pStyle w:val="Risultato"/>
        <w:ind w:left="567"/>
        <w:jc w:val="both"/>
      </w:pPr>
      <w:r>
        <w:t xml:space="preserve">Nell’A.A. 2016/2017 nella qualità di professore associato ha tenuto il corso di diritto costituzionale </w:t>
      </w:r>
      <w:proofErr w:type="gramStart"/>
      <w:r>
        <w:t>regionale  (</w:t>
      </w:r>
      <w:proofErr w:type="gramEnd"/>
      <w:r>
        <w:t>corso di laurea LMG01- canale A-Z)</w:t>
      </w:r>
      <w:r w:rsidRPr="002528E1">
        <w:t xml:space="preserve"> </w:t>
      </w:r>
      <w:r>
        <w:t>presso il dip.to di Giurisprudenza dell'Università Roma Tre.</w:t>
      </w:r>
    </w:p>
    <w:p w:rsidR="007C6D5C" w:rsidRDefault="00391743" w:rsidP="00391743">
      <w:pPr>
        <w:pStyle w:val="Risultato"/>
        <w:ind w:left="567"/>
        <w:jc w:val="both"/>
      </w:pPr>
      <w:r>
        <w:t xml:space="preserve">Nell’A.A. 2017/2018 nella qualità di professore associato ha tenuto il corso di diritto costituzionale </w:t>
      </w:r>
      <w:proofErr w:type="gramStart"/>
      <w:r>
        <w:t>regionale  (</w:t>
      </w:r>
      <w:proofErr w:type="gramEnd"/>
      <w:r>
        <w:t>corso di laurea LMG01- canale A-Z)</w:t>
      </w:r>
      <w:r w:rsidRPr="002528E1">
        <w:t xml:space="preserve"> </w:t>
      </w:r>
      <w:r>
        <w:t xml:space="preserve">presso il dip.to di Giurisprudenza dell'Università Roma </w:t>
      </w:r>
    </w:p>
    <w:p w:rsidR="00391743" w:rsidRDefault="00391743" w:rsidP="00391743">
      <w:pPr>
        <w:pStyle w:val="Risultato"/>
        <w:ind w:left="567"/>
        <w:jc w:val="both"/>
      </w:pPr>
      <w:r>
        <w:t>Tre.</w:t>
      </w:r>
    </w:p>
    <w:p w:rsidR="007C6D5C" w:rsidRDefault="007C6D5C" w:rsidP="007C6D5C">
      <w:pPr>
        <w:pStyle w:val="Risultato"/>
        <w:ind w:left="567"/>
        <w:jc w:val="both"/>
      </w:pPr>
      <w:r>
        <w:t xml:space="preserve">Nell’A.A. 2018/2019 nella qualità di professore associato ha tenuto il corso di diritto costituzionale </w:t>
      </w:r>
      <w:proofErr w:type="gramStart"/>
      <w:r>
        <w:t>regionale  (</w:t>
      </w:r>
      <w:proofErr w:type="gramEnd"/>
      <w:r>
        <w:t>corso di laurea LMG01- canale A-Z)</w:t>
      </w:r>
      <w:r w:rsidRPr="002528E1">
        <w:t xml:space="preserve"> </w:t>
      </w:r>
      <w:r>
        <w:t xml:space="preserve">presso il dip.to di Giurisprudenza dell'Università Roma </w:t>
      </w:r>
    </w:p>
    <w:p w:rsidR="007C6D5C" w:rsidRDefault="007C6D5C" w:rsidP="007C6D5C">
      <w:pPr>
        <w:pStyle w:val="Risultato"/>
        <w:ind w:left="567"/>
        <w:jc w:val="both"/>
      </w:pPr>
      <w:r>
        <w:t>Tre.</w:t>
      </w:r>
    </w:p>
    <w:p w:rsidR="00904CB3" w:rsidRDefault="00904CB3" w:rsidP="007C6D5C">
      <w:pPr>
        <w:pStyle w:val="Risultato"/>
        <w:ind w:left="567"/>
        <w:jc w:val="both"/>
      </w:pPr>
      <w:r>
        <w:t xml:space="preserve">Nell’A.A. 2018/2019 quale professore invitato presso l’Università Lumière Lyon </w:t>
      </w:r>
      <w:proofErr w:type="gramStart"/>
      <w:r>
        <w:t>2  ha</w:t>
      </w:r>
      <w:proofErr w:type="gramEnd"/>
      <w:r>
        <w:t xml:space="preserve"> tenuto un corso sui diritti fondamentali in Italia n</w:t>
      </w:r>
      <w:r w:rsidR="001877D9">
        <w:t>ell’ambito del programma Minerva</w:t>
      </w:r>
      <w:r>
        <w:t>.</w:t>
      </w:r>
    </w:p>
    <w:p w:rsidR="00EA25C1" w:rsidRDefault="00EA25C1" w:rsidP="00EA25C1">
      <w:pPr>
        <w:pStyle w:val="Risultato"/>
        <w:ind w:left="567"/>
        <w:jc w:val="both"/>
      </w:pPr>
      <w:r>
        <w:t xml:space="preserve">Nell’A.A. 2019/2020 nella qualità di professore associato ha tenuto il corso di diritto costituzionale </w:t>
      </w:r>
      <w:proofErr w:type="gramStart"/>
      <w:r>
        <w:t>re</w:t>
      </w:r>
      <w:r w:rsidR="00F73AB0">
        <w:t>gionale  (</w:t>
      </w:r>
      <w:proofErr w:type="gramEnd"/>
      <w:r w:rsidR="00F73AB0">
        <w:t>corso di laurea LMG01/</w:t>
      </w:r>
      <w:r>
        <w:t>canale A-Z)</w:t>
      </w:r>
      <w:r w:rsidRPr="002528E1">
        <w:t xml:space="preserve"> </w:t>
      </w:r>
      <w:r>
        <w:t xml:space="preserve">presso il dip.to di Giurisprudenza dell'Università Roma </w:t>
      </w:r>
    </w:p>
    <w:p w:rsidR="007C6D5C" w:rsidRDefault="00EA25C1" w:rsidP="00391743">
      <w:pPr>
        <w:pStyle w:val="Risultato"/>
        <w:ind w:left="567"/>
        <w:jc w:val="both"/>
      </w:pPr>
      <w:r>
        <w:t>Tre.</w:t>
      </w:r>
    </w:p>
    <w:p w:rsidR="00604C84" w:rsidRDefault="00604C84" w:rsidP="00391743">
      <w:pPr>
        <w:pStyle w:val="Risultato"/>
        <w:ind w:left="567"/>
        <w:jc w:val="both"/>
      </w:pPr>
      <w:r>
        <w:t xml:space="preserve">Nell’A.A. 2019/2020 quale professore invitato presso l’Università Lumière Lyon </w:t>
      </w:r>
      <w:proofErr w:type="gramStart"/>
      <w:r>
        <w:t>2  ha</w:t>
      </w:r>
      <w:proofErr w:type="gramEnd"/>
      <w:r>
        <w:t xml:space="preserve"> tenuto un corso sui diritti fondamentali in Italia nell’ambito del programma internazionale Minerva.</w:t>
      </w:r>
    </w:p>
    <w:p w:rsidR="004349C0" w:rsidRDefault="004349C0" w:rsidP="004349C0">
      <w:pPr>
        <w:pStyle w:val="Risultato"/>
        <w:ind w:left="567"/>
        <w:jc w:val="both"/>
      </w:pPr>
      <w:r>
        <w:t xml:space="preserve">Nell’A.A. 2020/2021 nella qualità di professore associato ha tenuto il corso di diritto costituzionale </w:t>
      </w:r>
      <w:proofErr w:type="gramStart"/>
      <w:r>
        <w:t>regionale  (</w:t>
      </w:r>
      <w:proofErr w:type="gramEnd"/>
      <w:r>
        <w:t>corso di laurea LMG01/canale A-Z)</w:t>
      </w:r>
      <w:r w:rsidRPr="002528E1">
        <w:t xml:space="preserve"> </w:t>
      </w:r>
      <w:r>
        <w:t xml:space="preserve">presso il dip.to di Giurisprudenza dell'Università Roma </w:t>
      </w:r>
    </w:p>
    <w:p w:rsidR="004349C0" w:rsidRDefault="004349C0" w:rsidP="004349C0">
      <w:pPr>
        <w:pStyle w:val="Risultato"/>
        <w:ind w:left="567"/>
        <w:jc w:val="both"/>
      </w:pPr>
      <w:r>
        <w:t xml:space="preserve">Tre nonché quello di diritto e legislazione della sicurezza nell'ambito del corso di laurea </w:t>
      </w:r>
      <w:proofErr w:type="gramStart"/>
      <w:r>
        <w:t>triennale  presso</w:t>
      </w:r>
      <w:proofErr w:type="gramEnd"/>
      <w:r>
        <w:t xml:space="preserve"> il medesimo  dipartimento di Giurisprudenza Roma Tre -  Polo di Ostia. </w:t>
      </w:r>
    </w:p>
    <w:p w:rsidR="004349C0" w:rsidRDefault="004349C0" w:rsidP="003108BF">
      <w:pPr>
        <w:pStyle w:val="Risultato"/>
        <w:tabs>
          <w:tab w:val="left" w:pos="1418"/>
        </w:tabs>
        <w:ind w:left="567"/>
        <w:jc w:val="both"/>
        <w:rPr>
          <w:b/>
          <w:sz w:val="24"/>
          <w:szCs w:val="24"/>
        </w:rPr>
      </w:pPr>
    </w:p>
    <w:p w:rsidR="00184DF1" w:rsidRPr="00AC3B28" w:rsidRDefault="0023378D" w:rsidP="003108BF">
      <w:pPr>
        <w:pStyle w:val="Risultato"/>
        <w:tabs>
          <w:tab w:val="left" w:pos="1418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Relazioni ed </w:t>
      </w:r>
      <w:proofErr w:type="gramStart"/>
      <w:r>
        <w:rPr>
          <w:b/>
          <w:sz w:val="24"/>
          <w:szCs w:val="24"/>
        </w:rPr>
        <w:t xml:space="preserve">interventi </w:t>
      </w:r>
      <w:r w:rsidR="00184DF1">
        <w:rPr>
          <w:b/>
          <w:sz w:val="24"/>
          <w:szCs w:val="24"/>
        </w:rPr>
        <w:t xml:space="preserve"> a</w:t>
      </w:r>
      <w:proofErr w:type="gramEnd"/>
      <w:r w:rsidR="00184DF1">
        <w:rPr>
          <w:b/>
          <w:sz w:val="24"/>
          <w:szCs w:val="24"/>
        </w:rPr>
        <w:t xml:space="preserve"> convegni e </w:t>
      </w:r>
      <w:r>
        <w:rPr>
          <w:b/>
          <w:sz w:val="24"/>
          <w:szCs w:val="24"/>
        </w:rPr>
        <w:t xml:space="preserve">seminari </w:t>
      </w:r>
    </w:p>
    <w:p w:rsidR="00184DF1" w:rsidRDefault="00184DF1" w:rsidP="003108BF">
      <w:pPr>
        <w:pStyle w:val="Risultato"/>
        <w:ind w:left="567"/>
        <w:jc w:val="both"/>
      </w:pPr>
      <w:r>
        <w:lastRenderedPageBreak/>
        <w:t>Tra i relatori, unitamente ai proff. G. Morbidelli e G.U. Rescigno,</w:t>
      </w:r>
      <w:r w:rsidR="001A5F10">
        <w:t xml:space="preserve"> </w:t>
      </w:r>
      <w:r w:rsidR="00E64A5F">
        <w:t>al convegno sul tema «</w:t>
      </w:r>
      <w:r>
        <w:t>la disapplicazione degli at</w:t>
      </w:r>
      <w:r w:rsidR="00E64A5F">
        <w:t>ti normativi ed amministrativi»</w:t>
      </w:r>
      <w:r>
        <w:t>, svoltosi nell’ambito del III seminario</w:t>
      </w:r>
      <w:r w:rsidR="001A5F10">
        <w:t xml:space="preserve"> </w:t>
      </w:r>
      <w:r>
        <w:t>Carlo Esposito e svoltosi a Capri il 16 settembre 2002.</w:t>
      </w:r>
    </w:p>
    <w:p w:rsidR="00184DF1" w:rsidRDefault="00184DF1" w:rsidP="003108BF">
      <w:pPr>
        <w:pStyle w:val="Risultato"/>
        <w:ind w:left="567"/>
        <w:jc w:val="both"/>
      </w:pPr>
      <w:r>
        <w:t xml:space="preserve">Il 20 marzo 2009 unitamente al prof. M. </w:t>
      </w:r>
      <w:proofErr w:type="spellStart"/>
      <w:r>
        <w:t>Siclari</w:t>
      </w:r>
      <w:proofErr w:type="spellEnd"/>
      <w:r>
        <w:t>, ed al prof. S. A. Agrò</w:t>
      </w:r>
      <w:r w:rsidR="001A5F10">
        <w:t xml:space="preserve"> </w:t>
      </w:r>
      <w:r>
        <w:t>ha partecipato al convegno t</w:t>
      </w:r>
      <w:r w:rsidR="00E64A5F">
        <w:t>enutosi ad Avezzano sul tema «</w:t>
      </w:r>
      <w:r>
        <w:rPr>
          <w:i/>
        </w:rPr>
        <w:t>Le questioni di legittimità costituzionale in via incidentale</w:t>
      </w:r>
      <w:r w:rsidR="00E64A5F">
        <w:t>», svolgendo una relazione su «</w:t>
      </w:r>
      <w:r>
        <w:t>la non manifesta infondatezza e la rilevanza della questione nella più recente</w:t>
      </w:r>
      <w:r w:rsidR="00E64A5F">
        <w:t xml:space="preserve"> giurisprudenza costituzionale»</w:t>
      </w:r>
      <w:r>
        <w:t>.</w:t>
      </w:r>
    </w:p>
    <w:p w:rsidR="00184DF1" w:rsidRDefault="00184DF1" w:rsidP="003108BF">
      <w:pPr>
        <w:pStyle w:val="Risultato"/>
        <w:ind w:left="567"/>
        <w:jc w:val="both"/>
      </w:pPr>
      <w:r>
        <w:t>Il 15 novembre 2</w:t>
      </w:r>
      <w:r w:rsidR="00E64A5F">
        <w:t>010 è stato relatore sul tema «</w:t>
      </w:r>
      <w:r>
        <w:t>I</w:t>
      </w:r>
      <w:r w:rsidRPr="00CD1DF3">
        <w:t>l procedimento di formazione della leggi regionali e la motivazione degli atti normativi</w:t>
      </w:r>
      <w:r w:rsidR="00E64A5F">
        <w:t>»</w:t>
      </w:r>
      <w:r>
        <w:t xml:space="preserve"> nell’ambito del convegno promosso nella città di Napoli dal </w:t>
      </w:r>
      <w:proofErr w:type="spellStart"/>
      <w:r>
        <w:t>Formez</w:t>
      </w:r>
      <w:proofErr w:type="spellEnd"/>
      <w:r w:rsidR="001A5F10">
        <w:t xml:space="preserve"> </w:t>
      </w:r>
      <w:r>
        <w:t>sul te</w:t>
      </w:r>
      <w:r w:rsidR="00E64A5F">
        <w:t>ma «</w:t>
      </w:r>
      <w:r>
        <w:t>Regioni Semplici - Regioni (da) Semplificar</w:t>
      </w:r>
      <w:r w:rsidR="00E64A5F">
        <w:t>e per i cittadini e le imprese»</w:t>
      </w:r>
      <w:r>
        <w:t>.</w:t>
      </w:r>
    </w:p>
    <w:p w:rsidR="00184DF1" w:rsidRDefault="00184DF1" w:rsidP="003108BF">
      <w:pPr>
        <w:pStyle w:val="Risultato"/>
        <w:ind w:left="567"/>
        <w:jc w:val="both"/>
      </w:pPr>
      <w:r>
        <w:t>Il 13 aprile 2012 ha</w:t>
      </w:r>
      <w:r w:rsidR="00E64A5F">
        <w:t xml:space="preserve"> svolto </w:t>
      </w:r>
      <w:proofErr w:type="gramStart"/>
      <w:r w:rsidR="00E64A5F">
        <w:t>uno relazione</w:t>
      </w:r>
      <w:proofErr w:type="gramEnd"/>
      <w:r w:rsidR="00E64A5F">
        <w:t xml:space="preserve"> sul tema «</w:t>
      </w:r>
      <w:r w:rsidRPr="00AA0986">
        <w:t>I diritti sociali all’epoca della crisi economica</w:t>
      </w:r>
      <w:r w:rsidR="00E64A5F">
        <w:t xml:space="preserve">» </w:t>
      </w:r>
      <w:r>
        <w:t>nell’ambito del seminario interdisciplinare</w:t>
      </w:r>
      <w:r w:rsidR="001A5F10">
        <w:t xml:space="preserve"> </w:t>
      </w:r>
      <w:r>
        <w:t>“Diritti e Disuguaglianze” organizzato presso la Facoltà di Giurisprudenza dell’Università di Roma Tre.</w:t>
      </w:r>
    </w:p>
    <w:p w:rsidR="00184DF1" w:rsidRDefault="00184DF1" w:rsidP="003108BF">
      <w:pPr>
        <w:pStyle w:val="Risultato"/>
        <w:ind w:left="567"/>
        <w:jc w:val="both"/>
      </w:pPr>
      <w:r>
        <w:t xml:space="preserve">Nel maggio 2012 </w:t>
      </w:r>
      <w:r w:rsidR="00E64A5F">
        <w:t>ha tenuto una lezione sul tema «</w:t>
      </w:r>
      <w:r>
        <w:t>Le norme penali in bianco nell</w:t>
      </w:r>
      <w:r w:rsidR="00E64A5F">
        <w:t>a giurisprudenza costituzionale»</w:t>
      </w:r>
      <w:r>
        <w:t xml:space="preserve"> nell'ambito della scuola dottorale Sistemi punitivi e garanzie del cittadino-Tullio </w:t>
      </w:r>
      <w:proofErr w:type="spellStart"/>
      <w:r>
        <w:t>Ascarelli</w:t>
      </w:r>
      <w:proofErr w:type="spellEnd"/>
      <w:r>
        <w:t xml:space="preserve"> presso la Facoltà di Giurisprudenza dell'Università di Roma Tre.</w:t>
      </w:r>
    </w:p>
    <w:p w:rsidR="00184DF1" w:rsidRDefault="00184DF1" w:rsidP="003108BF">
      <w:pPr>
        <w:pStyle w:val="Risultato"/>
        <w:ind w:left="567"/>
        <w:jc w:val="both"/>
      </w:pPr>
      <w:r>
        <w:t>Il</w:t>
      </w:r>
      <w:r w:rsidRPr="00594C2B">
        <w:t xml:space="preserve"> 24 gennaio 2014</w:t>
      </w:r>
      <w:r>
        <w:t xml:space="preserve"> ha</w:t>
      </w:r>
      <w:r w:rsidR="00E64A5F">
        <w:t xml:space="preserve"> tenuto una relazione sul tema «</w:t>
      </w:r>
      <w:proofErr w:type="gramStart"/>
      <w:r>
        <w:t>l’ insegnamento</w:t>
      </w:r>
      <w:proofErr w:type="gramEnd"/>
      <w:r>
        <w:t xml:space="preserve"> come diritto di libe</w:t>
      </w:r>
      <w:r w:rsidR="00E64A5F">
        <w:t>rtà» nell’ambito del convegno «</w:t>
      </w:r>
      <w:r>
        <w:t>Le dimensioni costituzionali dell’istruzione</w:t>
      </w:r>
      <w:r w:rsidR="00E64A5F">
        <w:t>»</w:t>
      </w:r>
      <w:r>
        <w:t xml:space="preserve"> svoltosi presso</w:t>
      </w:r>
      <w:r w:rsidR="001A5F10">
        <w:t xml:space="preserve"> </w:t>
      </w:r>
      <w:r>
        <w:t>la Facoltà di Economia- Dipartimento di Economi</w:t>
      </w:r>
      <w:r w:rsidR="00BD4FD2">
        <w:t>a</w:t>
      </w:r>
      <w:r w:rsidR="001A5F10">
        <w:t xml:space="preserve"> </w:t>
      </w:r>
      <w:r w:rsidR="00BD4FD2">
        <w:t>e diritto presso la</w:t>
      </w:r>
      <w:r>
        <w:t xml:space="preserve"> Sapienza </w:t>
      </w:r>
      <w:r w:rsidR="00BD4FD2">
        <w:t xml:space="preserve">Università </w:t>
      </w:r>
      <w:r>
        <w:t>di Roma.</w:t>
      </w:r>
    </w:p>
    <w:p w:rsidR="00184DF1" w:rsidRDefault="00184DF1" w:rsidP="003108BF">
      <w:pPr>
        <w:pStyle w:val="Risultato"/>
        <w:ind w:left="567"/>
        <w:jc w:val="both"/>
      </w:pPr>
      <w:r>
        <w:t>Il 29 aprile 2014 ha tenuto una lezione sul referendum costituzionale nell’ambito</w:t>
      </w:r>
      <w:r w:rsidRPr="00DC649D">
        <w:t xml:space="preserve"> </w:t>
      </w:r>
      <w:r>
        <w:t xml:space="preserve">della scuola dottorale Sistemi punitivi e garanzie del cittadino-Tullio </w:t>
      </w:r>
      <w:proofErr w:type="spellStart"/>
      <w:r>
        <w:t>Ascarelli</w:t>
      </w:r>
      <w:proofErr w:type="spellEnd"/>
      <w:r>
        <w:t xml:space="preserve"> presso la Facoltà di Giurisprudenza dell'Università di Roma Tre.</w:t>
      </w:r>
    </w:p>
    <w:p w:rsidR="00492949" w:rsidRPr="00C76871" w:rsidRDefault="00492949" w:rsidP="003108BF">
      <w:pPr>
        <w:pStyle w:val="Risultato"/>
        <w:ind w:left="567"/>
        <w:jc w:val="both"/>
      </w:pPr>
      <w:r w:rsidRPr="00C76871">
        <w:t>Il</w:t>
      </w:r>
      <w:r w:rsidR="001A5F10">
        <w:t xml:space="preserve"> </w:t>
      </w:r>
      <w:r w:rsidRPr="00C76871">
        <w:t>4 dicembre 2014</w:t>
      </w:r>
      <w:r w:rsidR="001A5F10">
        <w:t xml:space="preserve"> </w:t>
      </w:r>
      <w:r w:rsidRPr="00C76871">
        <w:t>ha presentato la propria monografia</w:t>
      </w:r>
      <w:r w:rsidR="001A5F10">
        <w:t xml:space="preserve"> </w:t>
      </w:r>
      <w:r>
        <w:rPr>
          <w:i/>
        </w:rPr>
        <w:t>“</w:t>
      </w:r>
      <w:r w:rsidRPr="00C76871">
        <w:rPr>
          <w:i/>
        </w:rPr>
        <w:t>Il referendum costituzionale nei processi di riforma</w:t>
      </w:r>
      <w:r>
        <w:rPr>
          <w:i/>
        </w:rPr>
        <w:t xml:space="preserve"> della Repubblica</w:t>
      </w:r>
      <w:r w:rsidRPr="00391743">
        <w:t xml:space="preserve">, </w:t>
      </w:r>
      <w:r w:rsidR="00391743" w:rsidRPr="00391743">
        <w:t>ES,</w:t>
      </w:r>
      <w:r w:rsidR="00391743">
        <w:rPr>
          <w:i/>
        </w:rPr>
        <w:t xml:space="preserve"> </w:t>
      </w:r>
      <w:r w:rsidRPr="00391743">
        <w:t>Napoli, 2013</w:t>
      </w:r>
      <w:r>
        <w:rPr>
          <w:i/>
        </w:rPr>
        <w:t xml:space="preserve">” </w:t>
      </w:r>
      <w:r w:rsidRPr="00C76871">
        <w:t>nell’ambito del dottorato di ricerca in Scienze giuridiche (Programma di Giustizia costituzionale e diritti fondamentali - Curriculum italo-franco-spagnolo in Giustizia costituzionale) presso il Dipartimento di Giurisprudenza dell’Università di Pisa.</w:t>
      </w:r>
    </w:p>
    <w:p w:rsidR="00A91152" w:rsidRDefault="000A53B6" w:rsidP="003108BF">
      <w:pPr>
        <w:pStyle w:val="Risultato"/>
        <w:ind w:left="567"/>
        <w:jc w:val="both"/>
      </w:pPr>
      <w:r>
        <w:t>Il 29 genna</w:t>
      </w:r>
      <w:r w:rsidR="00CA7EC3">
        <w:t>io 2015 è stato tra i relatori de</w:t>
      </w:r>
      <w:r>
        <w:t>l co</w:t>
      </w:r>
      <w:r w:rsidR="00CA7EC3">
        <w:t>nvegno dal titolo</w:t>
      </w:r>
      <w:r>
        <w:t xml:space="preserve"> “</w:t>
      </w:r>
      <w:r w:rsidR="00CA7EC3">
        <w:t>La ricerca scientifica tra possibilità e limiti”</w:t>
      </w:r>
      <w:r w:rsidR="0086786A">
        <w:t>,</w:t>
      </w:r>
      <w:r w:rsidR="00CA7EC3">
        <w:t xml:space="preserve"> tenutosi presso il Dip.to di Scienze politiche dell’Università di Roma Tre</w:t>
      </w:r>
      <w:r w:rsidR="0086786A">
        <w:t>,</w:t>
      </w:r>
      <w:r w:rsidR="00CA7EC3">
        <w:t xml:space="preserve"> svo</w:t>
      </w:r>
      <w:r w:rsidR="00A40A51">
        <w:t xml:space="preserve">lgendo una relazione sul tema: </w:t>
      </w:r>
      <w:r w:rsidR="00CA7EC3">
        <w:t xml:space="preserve">I limiti </w:t>
      </w:r>
      <w:r w:rsidR="0086786A">
        <w:t xml:space="preserve">alla ricerca scientifica: </w:t>
      </w:r>
      <w:proofErr w:type="gramStart"/>
      <w:r w:rsidR="0086786A">
        <w:t>“ il</w:t>
      </w:r>
      <w:proofErr w:type="gramEnd"/>
      <w:r w:rsidR="0086786A">
        <w:t xml:space="preserve"> caso stamina”.</w:t>
      </w:r>
    </w:p>
    <w:p w:rsidR="000D0378" w:rsidRDefault="00492949" w:rsidP="000D0378">
      <w:pPr>
        <w:pStyle w:val="Risultato"/>
        <w:ind w:left="567"/>
        <w:jc w:val="both"/>
        <w:rPr>
          <w:i/>
        </w:rPr>
      </w:pPr>
      <w:r>
        <w:t xml:space="preserve">Il 19 giugno 2015 </w:t>
      </w:r>
      <w:r w:rsidR="0086786A">
        <w:t>nell’ambito del seminario annuale del Gruppo di Pisa</w:t>
      </w:r>
      <w:r w:rsidR="0047260E">
        <w:t xml:space="preserve"> sul tema “La dis-eguaglianza nello Stato costituzionale”</w:t>
      </w:r>
      <w:r w:rsidR="001A5F10">
        <w:t xml:space="preserve"> </w:t>
      </w:r>
      <w:r w:rsidR="0047260E">
        <w:t>tenutosi presso l’Università degli studi del Molise</w:t>
      </w:r>
      <w:r w:rsidR="00C94C0F">
        <w:t xml:space="preserve"> </w:t>
      </w:r>
      <w:r w:rsidR="0047260E">
        <w:t>- sede di</w:t>
      </w:r>
      <w:r w:rsidR="00C444E6">
        <w:t xml:space="preserve"> Campobasso</w:t>
      </w:r>
      <w:r w:rsidR="001A5F10">
        <w:t xml:space="preserve"> </w:t>
      </w:r>
      <w:r w:rsidR="00C444E6">
        <w:t>ha tenuto una</w:t>
      </w:r>
      <w:r w:rsidR="001A5F10">
        <w:t xml:space="preserve"> </w:t>
      </w:r>
      <w:r w:rsidR="00C444E6">
        <w:t>relazione sul tema</w:t>
      </w:r>
      <w:r w:rsidR="0086786A" w:rsidRPr="0086786A">
        <w:t xml:space="preserve"> </w:t>
      </w:r>
      <w:r w:rsidR="00C444E6" w:rsidRPr="00C444E6">
        <w:rPr>
          <w:i/>
        </w:rPr>
        <w:t>Dis</w:t>
      </w:r>
      <w:r w:rsidR="0086786A" w:rsidRPr="00C444E6">
        <w:rPr>
          <w:i/>
        </w:rPr>
        <w:t>-eguaglianza e promozione sociale: bisogno e merito (diverse letture del principio di eguaglianza nel sistema costituzionale)</w:t>
      </w:r>
      <w:r w:rsidR="00C444E6">
        <w:rPr>
          <w:i/>
        </w:rPr>
        <w:t>.</w:t>
      </w:r>
    </w:p>
    <w:p w:rsidR="00391743" w:rsidRDefault="001E16D1" w:rsidP="00A90004">
      <w:pPr>
        <w:pStyle w:val="Risultato"/>
        <w:ind w:left="567"/>
        <w:jc w:val="both"/>
      </w:pPr>
      <w:r>
        <w:t>L’11 febbraio 2016 ha svolto un breve intervento nel seminario di studio</w:t>
      </w:r>
      <w:r w:rsidR="00A90004">
        <w:t xml:space="preserve"> </w:t>
      </w:r>
      <w:r>
        <w:t>sul tema “Riforma costituzionale e referendum parziali”</w:t>
      </w:r>
      <w:r w:rsidR="00A90004">
        <w:t>, organizzato</w:t>
      </w:r>
      <w:r w:rsidR="00A37DA0">
        <w:t xml:space="preserve"> </w:t>
      </w:r>
      <w:r>
        <w:t>nell’ambito del Master in Istituzioni Parlamentari “Mario Galizia” per consulenti d’assemblea</w:t>
      </w:r>
      <w:r w:rsidR="00A90004">
        <w:t xml:space="preserve"> e tenutosi</w:t>
      </w:r>
      <w:r>
        <w:t xml:space="preserve"> presso il Dipartimento di Scienze Politiche</w:t>
      </w:r>
      <w:r w:rsidR="00A37DA0">
        <w:t xml:space="preserve"> della Sapienza Università di Roma.</w:t>
      </w:r>
    </w:p>
    <w:p w:rsidR="00A90004" w:rsidRDefault="00391743" w:rsidP="00391743">
      <w:pPr>
        <w:pStyle w:val="Risultato"/>
        <w:ind w:left="567"/>
        <w:jc w:val="both"/>
      </w:pPr>
      <w:r>
        <w:t xml:space="preserve">Il 21 aprile 2016 ha partecipato alla tavola rotonda sul </w:t>
      </w:r>
      <w:proofErr w:type="gramStart"/>
      <w:r>
        <w:t>tema  “</w:t>
      </w:r>
      <w:proofErr w:type="gramEnd"/>
      <w:r>
        <w:t xml:space="preserve">Gli effetti della sentenza </w:t>
      </w:r>
      <w:proofErr w:type="spellStart"/>
      <w:r>
        <w:t>Taricco</w:t>
      </w:r>
      <w:proofErr w:type="spellEnd"/>
      <w:r>
        <w:t xml:space="preserve"> sul sistema penale: verso una disapplicazione in </w:t>
      </w:r>
      <w:proofErr w:type="spellStart"/>
      <w:r w:rsidRPr="00594A93">
        <w:rPr>
          <w:i/>
        </w:rPr>
        <w:t>malam</w:t>
      </w:r>
      <w:proofErr w:type="spellEnd"/>
      <w:r w:rsidRPr="00594A93">
        <w:rPr>
          <w:i/>
        </w:rPr>
        <w:t xml:space="preserve"> </w:t>
      </w:r>
      <w:proofErr w:type="spellStart"/>
      <w:r w:rsidRPr="00594A93">
        <w:rPr>
          <w:i/>
        </w:rPr>
        <w:t>partem</w:t>
      </w:r>
      <w:proofErr w:type="spellEnd"/>
      <w:r>
        <w:t>? Presso la Camera penale di Viterbo.</w:t>
      </w:r>
    </w:p>
    <w:p w:rsidR="00594A93" w:rsidRDefault="00594A93" w:rsidP="00391743">
      <w:pPr>
        <w:pStyle w:val="Risultato"/>
        <w:ind w:left="567"/>
        <w:jc w:val="both"/>
        <w:rPr>
          <w:rFonts w:cs="Calibri"/>
        </w:rPr>
      </w:pPr>
      <w:r>
        <w:t xml:space="preserve">Il 25 ottobre 2016 ha tenuto una relazione nell’ambito del convegno sul tema </w:t>
      </w:r>
      <w:r>
        <w:rPr>
          <w:rFonts w:cs="Calibri"/>
        </w:rPr>
        <w:t>“L</w:t>
      </w:r>
      <w:r w:rsidR="00B168B0">
        <w:rPr>
          <w:rFonts w:cs="Calibri"/>
        </w:rPr>
        <w:t>a riforma costituzionale</w:t>
      </w:r>
      <w:r>
        <w:rPr>
          <w:rFonts w:cs="Calibri"/>
        </w:rPr>
        <w:t>:</w:t>
      </w:r>
      <w:r w:rsidR="00B168B0">
        <w:rPr>
          <w:rFonts w:cs="Calibri"/>
        </w:rPr>
        <w:t xml:space="preserve"> </w:t>
      </w:r>
      <w:r>
        <w:rPr>
          <w:rFonts w:cs="Calibri"/>
        </w:rPr>
        <w:t xml:space="preserve">opinioni a confronto” presso il Dipartimento di Giurisprudenza presso l’Università degli Studi di Foggia. </w:t>
      </w:r>
    </w:p>
    <w:p w:rsidR="00B168B0" w:rsidRDefault="00B168B0" w:rsidP="00391743">
      <w:pPr>
        <w:pStyle w:val="Risultato"/>
        <w:ind w:left="567"/>
        <w:jc w:val="both"/>
      </w:pPr>
      <w:r>
        <w:rPr>
          <w:rFonts w:cs="Calibri"/>
        </w:rPr>
        <w:t xml:space="preserve">Il 25 maggio 2017 ha svolto un breve intervento in occasione della presentazione del volume di Luigi </w:t>
      </w:r>
      <w:proofErr w:type="spellStart"/>
      <w:r>
        <w:rPr>
          <w:rFonts w:cs="Calibri"/>
        </w:rPr>
        <w:t>Ferrajoli</w:t>
      </w:r>
      <w:proofErr w:type="spellEnd"/>
      <w:r>
        <w:rPr>
          <w:rFonts w:cs="Calibri"/>
        </w:rPr>
        <w:t xml:space="preserve">, </w:t>
      </w:r>
      <w:r w:rsidRPr="00B168B0">
        <w:rPr>
          <w:rFonts w:cs="Calibri"/>
          <w:i/>
        </w:rPr>
        <w:t xml:space="preserve">La logica del diritto. Dieci aporie nell’opera di Hans </w:t>
      </w:r>
      <w:proofErr w:type="spellStart"/>
      <w:r w:rsidRPr="00B168B0">
        <w:rPr>
          <w:rFonts w:cs="Calibri"/>
          <w:i/>
        </w:rPr>
        <w:t>Kelsen</w:t>
      </w:r>
      <w:proofErr w:type="spellEnd"/>
      <w:r>
        <w:rPr>
          <w:rFonts w:cs="Calibri"/>
        </w:rPr>
        <w:t xml:space="preserve">, Roma-Bari, 2017 presso il Dipartimento di Giurisprudenza dell’Università di Roma Tre.  </w:t>
      </w:r>
    </w:p>
    <w:p w:rsidR="00391743" w:rsidRDefault="00594A93" w:rsidP="00391743">
      <w:pPr>
        <w:pStyle w:val="Risultato"/>
        <w:ind w:left="567"/>
        <w:jc w:val="both"/>
      </w:pPr>
      <w:r>
        <w:lastRenderedPageBreak/>
        <w:t xml:space="preserve">Il 14 dicembre 2017 ha tenuto una relazione nell’ambito del convegno, organizzato dall’Ordine degli avvocati di Frosinone e dalla Casa ciociara della Cultura, in onore di Cesare Massimo Bianca dal titolo </w:t>
      </w:r>
      <w:r w:rsidRPr="0085612C">
        <w:rPr>
          <w:i/>
        </w:rPr>
        <w:t xml:space="preserve">A quarant’anni </w:t>
      </w:r>
      <w:proofErr w:type="gramStart"/>
      <w:r w:rsidRPr="0085612C">
        <w:rPr>
          <w:i/>
        </w:rPr>
        <w:t>da ”Le</w:t>
      </w:r>
      <w:proofErr w:type="gramEnd"/>
      <w:r w:rsidRPr="0085612C">
        <w:rPr>
          <w:i/>
        </w:rPr>
        <w:t xml:space="preserve"> autorità private”</w:t>
      </w:r>
      <w:r w:rsidRPr="0085612C">
        <w:rPr>
          <w:rFonts w:cs="Calibri"/>
          <w:i/>
        </w:rPr>
        <w:t>,</w:t>
      </w:r>
      <w:r>
        <w:t xml:space="preserve"> tenutosi presso il Palazzo della Provincia di Frosinone e che ha visto, in qualità di relatori, la partecipazione dei proff. Salvatore Patti e Francesco Sabatini.</w:t>
      </w:r>
    </w:p>
    <w:p w:rsidR="00594A93" w:rsidRDefault="00594A93" w:rsidP="00391743">
      <w:pPr>
        <w:pStyle w:val="Risultato"/>
        <w:ind w:left="567"/>
        <w:jc w:val="both"/>
      </w:pPr>
      <w:r>
        <w:t>L’11 aprile 2018 ha introdotto e moderato una tavola rotonda</w:t>
      </w:r>
      <w:r w:rsidR="00DF00FC">
        <w:t xml:space="preserve"> presso la libreria "Le storie</w:t>
      </w:r>
      <w:proofErr w:type="gramStart"/>
      <w:r w:rsidR="00DF00FC">
        <w:t>"  a</w:t>
      </w:r>
      <w:proofErr w:type="gramEnd"/>
      <w:r w:rsidR="00DF00FC">
        <w:t xml:space="preserve"> Roma ed avente ad oggetto </w:t>
      </w:r>
      <w:r>
        <w:t xml:space="preserve"> la presentazione del libro di Luigi </w:t>
      </w:r>
      <w:proofErr w:type="spellStart"/>
      <w:r>
        <w:t>Ferrajoli</w:t>
      </w:r>
      <w:proofErr w:type="spellEnd"/>
      <w:r>
        <w:t xml:space="preserve">, </w:t>
      </w:r>
      <w:r w:rsidRPr="00594A93">
        <w:rPr>
          <w:i/>
        </w:rPr>
        <w:t>Manifesto per l’uguaglianza</w:t>
      </w:r>
      <w:r>
        <w:t>, Roma-Bari, 2018.</w:t>
      </w:r>
    </w:p>
    <w:p w:rsidR="00457659" w:rsidRDefault="00B168B0" w:rsidP="00391743">
      <w:pPr>
        <w:pStyle w:val="Risultato"/>
        <w:ind w:left="567"/>
        <w:jc w:val="both"/>
      </w:pPr>
      <w:r>
        <w:t xml:space="preserve">Il 12 aprile 2018 ha partecipato in qualità di relatore alla tavola rotonda sul </w:t>
      </w:r>
      <w:proofErr w:type="gramStart"/>
      <w:r>
        <w:t>tema  “</w:t>
      </w:r>
      <w:proofErr w:type="gramEnd"/>
      <w:r>
        <w:t xml:space="preserve">La nuova legge sul consenso informato e le disposizioni anticipate di trattamento: problematiche e prospettive”, tenutosi presso la Facoltà di Economia dell’Università degli Studi di Roma “Tor Vergata” e che ha visto la partecipazione dei proff. G. Lener, D. Morana, M. G. Marciani, L. Pirozzi, C. Cupelli.  </w:t>
      </w:r>
    </w:p>
    <w:p w:rsidR="00C95B97" w:rsidRDefault="00C95B97" w:rsidP="00391743">
      <w:pPr>
        <w:pStyle w:val="Risultato"/>
        <w:ind w:left="567"/>
        <w:jc w:val="both"/>
      </w:pPr>
      <w:r>
        <w:t xml:space="preserve">Il 18 maggio 2018 ha partecipato quale relatore, unitamente al prof. Vincenzo </w:t>
      </w:r>
      <w:proofErr w:type="gramStart"/>
      <w:r>
        <w:t>Maiello,  al</w:t>
      </w:r>
      <w:proofErr w:type="gramEnd"/>
      <w:r>
        <w:t xml:space="preserve"> convegno sul tema "Dei delitti e delle pene Cesare Beccaria nostro contemporaneo" promosso dal Consiglio dell'Ordine degli avvocati di Frosinone  dalla Casa Ciociara della cultura e tenutosi presso il Tribunale di Frosinone.</w:t>
      </w:r>
    </w:p>
    <w:p w:rsidR="00457659" w:rsidRDefault="00457659" w:rsidP="00391743">
      <w:pPr>
        <w:pStyle w:val="Risultato"/>
        <w:ind w:left="567"/>
        <w:jc w:val="both"/>
      </w:pPr>
      <w:r>
        <w:t xml:space="preserve">Il 17 novembre 2018 ha partecipato in qualità di relatore al convegno promosso dal Consiglio Nazionale forense e dal Consiglio dell'ordine degli avvocati di Frosinone sul tema "Il ruolo dell'avvocato e il rilievo costituzionale della professione forense" presso </w:t>
      </w:r>
      <w:proofErr w:type="gramStart"/>
      <w:r>
        <w:t xml:space="preserve">l'  </w:t>
      </w:r>
      <w:proofErr w:type="gramEnd"/>
      <w:r>
        <w:t>Auditorium San Paolo - Frosinone.</w:t>
      </w:r>
    </w:p>
    <w:p w:rsidR="00FC3049" w:rsidRDefault="00FC3049" w:rsidP="00391743">
      <w:pPr>
        <w:pStyle w:val="Risultato"/>
        <w:ind w:left="567"/>
        <w:jc w:val="both"/>
      </w:pPr>
      <w:r>
        <w:t xml:space="preserve">Il 30 novembre 2018 ha svolto un intervento nell'ambito del Convegno internazionale di Salerno dal </w:t>
      </w:r>
      <w:proofErr w:type="gramStart"/>
      <w:r>
        <w:t>titolo  "</w:t>
      </w:r>
      <w:proofErr w:type="gramEnd"/>
      <w:r>
        <w:t xml:space="preserve">70 anni di Costituzione"  nell'ambito della sessione dedicata a "Sovranità, democrazia e populismo".   </w:t>
      </w:r>
    </w:p>
    <w:p w:rsidR="00FC3049" w:rsidRDefault="00DB30D4" w:rsidP="00391743">
      <w:pPr>
        <w:pStyle w:val="Risultato"/>
        <w:ind w:left="567"/>
        <w:jc w:val="both"/>
      </w:pPr>
      <w:r>
        <w:t>I</w:t>
      </w:r>
      <w:r w:rsidR="00FC3049">
        <w:t xml:space="preserve">l 12 luglio </w:t>
      </w:r>
      <w:proofErr w:type="gramStart"/>
      <w:r w:rsidR="00FC3049">
        <w:t>2019  ha</w:t>
      </w:r>
      <w:proofErr w:type="gramEnd"/>
      <w:r w:rsidR="00FC3049">
        <w:t xml:space="preserve"> svolto una relazione nell'ambito del convegno sul tema "Il diritto alla vita e il diritto alla morte. Riflessioni intorno al </w:t>
      </w:r>
      <w:r w:rsidR="00FC3049" w:rsidRPr="00FC3049">
        <w:rPr>
          <w:i/>
        </w:rPr>
        <w:t>caso Cappato</w:t>
      </w:r>
      <w:r w:rsidR="00FC3049">
        <w:t xml:space="preserve">", svoltosi a Perugia ed </w:t>
      </w:r>
      <w:proofErr w:type="gramStart"/>
      <w:r w:rsidR="00FC3049">
        <w:t>organizzato  congiuntamente</w:t>
      </w:r>
      <w:proofErr w:type="gramEnd"/>
      <w:r w:rsidR="00FC3049">
        <w:t xml:space="preserve"> dall'Ordine degli avvocati di Perugia  e dalla Scuola Superiore della Magistratura.</w:t>
      </w:r>
    </w:p>
    <w:p w:rsidR="00342EE8" w:rsidRDefault="00342EE8" w:rsidP="00391743">
      <w:pPr>
        <w:pStyle w:val="Risultato"/>
        <w:ind w:left="567"/>
        <w:jc w:val="both"/>
      </w:pPr>
      <w:r>
        <w:t xml:space="preserve">Il 5 settembre 2019 ha partecipato come relatore alla IX edizione della Scuola Estiva Arpinate, promossa dall'Università Cusano di Roma in collaborazione con l'Università di Trieste e l'Istituto Internazionale Jacques </w:t>
      </w:r>
      <w:proofErr w:type="gramStart"/>
      <w:r>
        <w:t>Maritain,  sul</w:t>
      </w:r>
      <w:proofErr w:type="gramEnd"/>
      <w:r>
        <w:t xml:space="preserve"> tema " Finis vitae: questioni aperte".</w:t>
      </w:r>
    </w:p>
    <w:p w:rsidR="00FC3049" w:rsidRDefault="00DB30D4" w:rsidP="00391743">
      <w:pPr>
        <w:pStyle w:val="Risultato"/>
        <w:ind w:left="567"/>
        <w:jc w:val="both"/>
      </w:pPr>
      <w:r>
        <w:t xml:space="preserve">Il 18 settembre 2019 ha partecipato alla tavola rotonda sul tema "L’Ordinanza n. 207/2018 sul caso Cappato: dignità e autodeterminazione nel morire" organizzato dal Dipartimento di Scienze Giuridiche e l'Associazione </w:t>
      </w:r>
      <w:proofErr w:type="spellStart"/>
      <w:r>
        <w:t>Politeia</w:t>
      </w:r>
      <w:proofErr w:type="spellEnd"/>
      <w:r>
        <w:t xml:space="preserve"> presso l'Università Statale di Milano. </w:t>
      </w:r>
    </w:p>
    <w:p w:rsidR="00F73AB0" w:rsidRDefault="00082808" w:rsidP="00F73AB0">
      <w:pPr>
        <w:pStyle w:val="Risultato"/>
        <w:ind w:left="567"/>
        <w:jc w:val="both"/>
      </w:pPr>
      <w:r>
        <w:t xml:space="preserve">Il 16 luglio </w:t>
      </w:r>
      <w:proofErr w:type="gramStart"/>
      <w:r w:rsidR="00F73AB0">
        <w:t>2020  ha</w:t>
      </w:r>
      <w:proofErr w:type="gramEnd"/>
      <w:r w:rsidR="00F73AB0">
        <w:t xml:space="preserve"> partecipato in qualità di relatore al webinar dal titolo "Incontro con l’Osservatorio parlamentare su Roma Capitale. Un futuro per Roma Capitale: modelli, idee e dimensioni a confronto".  </w:t>
      </w:r>
    </w:p>
    <w:p w:rsidR="00342EE8" w:rsidRDefault="004349C0" w:rsidP="00391743">
      <w:pPr>
        <w:pStyle w:val="Risultato"/>
        <w:ind w:left="567"/>
        <w:jc w:val="both"/>
      </w:pPr>
      <w:r>
        <w:t xml:space="preserve">Il 17 settembre 2020 è stato relatore al webinar </w:t>
      </w:r>
      <w:r w:rsidR="0088047C">
        <w:t>sul tema "</w:t>
      </w:r>
      <w:r w:rsidRPr="004349C0">
        <w:t>La produzione normativa fra ricorso alla scienza e riserva di scienza</w:t>
      </w:r>
      <w:r w:rsidR="0088047C">
        <w:t xml:space="preserve">" organizzato nell'ambito delle attività </w:t>
      </w:r>
      <w:proofErr w:type="spellStart"/>
      <w:r w:rsidR="0088047C">
        <w:t>Prin</w:t>
      </w:r>
      <w:proofErr w:type="spellEnd"/>
      <w:r w:rsidR="0088047C">
        <w:t xml:space="preserve"> </w:t>
      </w:r>
      <w:proofErr w:type="gramStart"/>
      <w:r w:rsidR="0088047C">
        <w:t xml:space="preserve">2017 </w:t>
      </w:r>
      <w:r w:rsidR="0088047C" w:rsidRPr="0088047C">
        <w:t xml:space="preserve"> “</w:t>
      </w:r>
      <w:proofErr w:type="gramEnd"/>
      <w:r w:rsidR="0088047C" w:rsidRPr="0088047C">
        <w:t xml:space="preserve">Self- and Co-regulation for Emerging Technologies: </w:t>
      </w:r>
      <w:proofErr w:type="spellStart"/>
      <w:r w:rsidR="0088047C" w:rsidRPr="0088047C">
        <w:t>Towards</w:t>
      </w:r>
      <w:proofErr w:type="spellEnd"/>
      <w:r w:rsidR="0088047C" w:rsidRPr="0088047C">
        <w:t xml:space="preserve"> a </w:t>
      </w:r>
      <w:proofErr w:type="spellStart"/>
      <w:r w:rsidR="0088047C" w:rsidRPr="0088047C">
        <w:t>Technological</w:t>
      </w:r>
      <w:proofErr w:type="spellEnd"/>
      <w:r w:rsidR="0088047C" w:rsidRPr="0088047C">
        <w:t xml:space="preserve"> Rule of Law”</w:t>
      </w:r>
      <w:r w:rsidR="0088047C">
        <w:t>" (Resp. Prof. Andrea Simoncini).</w:t>
      </w:r>
    </w:p>
    <w:p w:rsidR="0088047C" w:rsidRDefault="0088047C" w:rsidP="00391743">
      <w:pPr>
        <w:pStyle w:val="Risultato"/>
        <w:ind w:left="567"/>
        <w:jc w:val="both"/>
      </w:pPr>
    </w:p>
    <w:p w:rsidR="00F05FB6" w:rsidRPr="00A90004" w:rsidRDefault="006C32C8" w:rsidP="00A90004">
      <w:pPr>
        <w:pStyle w:val="Risultato"/>
        <w:ind w:left="567"/>
        <w:jc w:val="both"/>
      </w:pPr>
      <w:r w:rsidRPr="00E175B9">
        <w:rPr>
          <w:b/>
          <w:sz w:val="24"/>
          <w:szCs w:val="24"/>
        </w:rPr>
        <w:t>Collaborazioni scientifiche ed</w:t>
      </w:r>
      <w:r w:rsidR="001A5F10">
        <w:rPr>
          <w:b/>
          <w:sz w:val="24"/>
          <w:szCs w:val="24"/>
        </w:rPr>
        <w:t xml:space="preserve"> </w:t>
      </w:r>
      <w:r w:rsidRPr="00E175B9">
        <w:rPr>
          <w:b/>
          <w:sz w:val="24"/>
          <w:szCs w:val="24"/>
        </w:rPr>
        <w:t xml:space="preserve">editoriali </w:t>
      </w:r>
      <w:r w:rsidR="00841E1C" w:rsidRPr="00E175B9">
        <w:rPr>
          <w:b/>
          <w:sz w:val="24"/>
          <w:szCs w:val="24"/>
        </w:rPr>
        <w:t>– Partecipazione a comitati</w:t>
      </w:r>
      <w:r w:rsidR="00BF1FF5">
        <w:rPr>
          <w:b/>
          <w:sz w:val="24"/>
          <w:szCs w:val="24"/>
        </w:rPr>
        <w:t xml:space="preserve"> di redazione e</w:t>
      </w:r>
      <w:r w:rsidR="00841E1C" w:rsidRPr="00E175B9">
        <w:rPr>
          <w:b/>
          <w:sz w:val="24"/>
          <w:szCs w:val="24"/>
        </w:rPr>
        <w:t xml:space="preserve"> di</w:t>
      </w:r>
      <w:r w:rsidR="000E0FAC">
        <w:rPr>
          <w:b/>
          <w:sz w:val="24"/>
          <w:szCs w:val="24"/>
        </w:rPr>
        <w:t xml:space="preserve"> direzione</w:t>
      </w:r>
      <w:r w:rsidR="00841E1C" w:rsidRPr="00E175B9">
        <w:rPr>
          <w:b/>
          <w:sz w:val="24"/>
          <w:szCs w:val="24"/>
        </w:rPr>
        <w:t xml:space="preserve"> di riviste scientifiche</w:t>
      </w:r>
      <w:r w:rsidR="0031600B">
        <w:rPr>
          <w:b/>
          <w:sz w:val="24"/>
          <w:szCs w:val="24"/>
        </w:rPr>
        <w:t xml:space="preserve"> - Incarichi associativi.</w:t>
      </w:r>
    </w:p>
    <w:p w:rsidR="006C32C8" w:rsidRDefault="00AC3B28" w:rsidP="003108BF">
      <w:pPr>
        <w:pStyle w:val="Risultato"/>
        <w:ind w:left="567"/>
        <w:jc w:val="both"/>
      </w:pPr>
      <w:r>
        <w:t>D</w:t>
      </w:r>
      <w:r w:rsidR="006C32C8">
        <w:t xml:space="preserve">al giugno 1996 </w:t>
      </w:r>
      <w:r>
        <w:t>sino al 2013 ha intrattenuto rapporti</w:t>
      </w:r>
      <w:r w:rsidR="006C32C8">
        <w:t xml:space="preserve"> di collaborazione con la rivista Giurisprudenza Italiana per la quale </w:t>
      </w:r>
      <w:r>
        <w:t xml:space="preserve">ha </w:t>
      </w:r>
      <w:r w:rsidR="006C32C8">
        <w:t>annota</w:t>
      </w:r>
      <w:r>
        <w:t>to</w:t>
      </w:r>
      <w:r w:rsidR="006C32C8">
        <w:t xml:space="preserve"> sentenze ed ordinanze della Corte costituzionale nonché altre pronunce giurisdizionali di interesse costituzionalistico. </w:t>
      </w:r>
    </w:p>
    <w:p w:rsidR="00841E1C" w:rsidRDefault="00841E1C" w:rsidP="003108BF">
      <w:pPr>
        <w:pStyle w:val="Risultato"/>
        <w:ind w:left="567"/>
        <w:jc w:val="both"/>
      </w:pPr>
      <w:r>
        <w:t xml:space="preserve">Dal 2005 è curatore </w:t>
      </w:r>
      <w:r w:rsidR="00293227">
        <w:t xml:space="preserve">di </w:t>
      </w:r>
      <w:r>
        <w:t xml:space="preserve">una rassegna giurisprudenziale sulla </w:t>
      </w:r>
      <w:r>
        <w:rPr>
          <w:i/>
        </w:rPr>
        <w:t>Rivista Giuridica del Mezzogiorno</w:t>
      </w:r>
      <w:r w:rsidR="001A5F10">
        <w:t xml:space="preserve"> </w:t>
      </w:r>
      <w:r>
        <w:t>edita dalla casa editrice</w:t>
      </w:r>
      <w:r w:rsidR="001A5F10">
        <w:t xml:space="preserve"> </w:t>
      </w:r>
      <w:r>
        <w:t xml:space="preserve">Il Mulino. </w:t>
      </w:r>
    </w:p>
    <w:p w:rsidR="00194F06" w:rsidRDefault="00707EEB" w:rsidP="003108BF">
      <w:pPr>
        <w:pStyle w:val="Risultato"/>
        <w:ind w:left="567"/>
        <w:jc w:val="both"/>
        <w:rPr>
          <w:i/>
        </w:rPr>
      </w:pPr>
      <w:r>
        <w:lastRenderedPageBreak/>
        <w:t>Dall’ottobre del 2011 è membro del comitato di redazione</w:t>
      </w:r>
      <w:r w:rsidR="00194F06">
        <w:t xml:space="preserve"> della rivista </w:t>
      </w:r>
      <w:r w:rsidR="00194F06" w:rsidRPr="00350674">
        <w:rPr>
          <w:i/>
        </w:rPr>
        <w:t>Giurisprudenza Costituzionale.</w:t>
      </w:r>
    </w:p>
    <w:p w:rsidR="001379C7" w:rsidRDefault="00A04011" w:rsidP="003108BF">
      <w:pPr>
        <w:pStyle w:val="Risultato"/>
        <w:ind w:left="567"/>
        <w:jc w:val="both"/>
        <w:rPr>
          <w:i/>
        </w:rPr>
      </w:pPr>
      <w:r w:rsidRPr="00A04011">
        <w:t xml:space="preserve">Dal mese di aprile 2013 </w:t>
      </w:r>
      <w:r w:rsidR="00B6610D">
        <w:t>sino al mes</w:t>
      </w:r>
      <w:r w:rsidR="009341F0">
        <w:t>e di dicembre 2015</w:t>
      </w:r>
      <w:r w:rsidR="00B6610D">
        <w:t xml:space="preserve"> </w:t>
      </w:r>
      <w:r w:rsidRPr="00A04011">
        <w:t xml:space="preserve">è </w:t>
      </w:r>
      <w:r w:rsidR="00B6610D">
        <w:t xml:space="preserve">stato </w:t>
      </w:r>
      <w:r w:rsidRPr="00A04011">
        <w:t>caporedattore</w:t>
      </w:r>
      <w:r w:rsidRPr="00A04011">
        <w:rPr>
          <w:i/>
        </w:rPr>
        <w:t xml:space="preserve"> dell'Osservatorio costituzionale del sito dell'Associazione</w:t>
      </w:r>
      <w:r>
        <w:rPr>
          <w:i/>
        </w:rPr>
        <w:t xml:space="preserve"> italiana dei costituzionalisti</w:t>
      </w:r>
    </w:p>
    <w:p w:rsidR="00A91152" w:rsidRDefault="00A91152" w:rsidP="003108BF">
      <w:pPr>
        <w:pStyle w:val="Risultato"/>
        <w:ind w:left="567"/>
        <w:jc w:val="both"/>
        <w:rPr>
          <w:i/>
        </w:rPr>
      </w:pPr>
      <w:r>
        <w:t xml:space="preserve">Dal mese di maggio 2014 </w:t>
      </w:r>
      <w:r w:rsidR="0031600B">
        <w:t>sino al marzo 2019</w:t>
      </w:r>
      <w:r w:rsidR="00B6610D">
        <w:t xml:space="preserve"> </w:t>
      </w:r>
      <w:r>
        <w:t>è</w:t>
      </w:r>
      <w:r w:rsidR="0031600B">
        <w:t xml:space="preserve"> </w:t>
      </w:r>
      <w:proofErr w:type="gramStart"/>
      <w:r w:rsidR="0031600B">
        <w:t xml:space="preserve">stato </w:t>
      </w:r>
      <w:r>
        <w:t xml:space="preserve"> responsabile</w:t>
      </w:r>
      <w:proofErr w:type="gramEnd"/>
      <w:r>
        <w:t xml:space="preserve"> della sezione</w:t>
      </w:r>
      <w:r w:rsidR="00A40A51">
        <w:t xml:space="preserve"> “</w:t>
      </w:r>
      <w:r w:rsidR="00A40A51" w:rsidRPr="00A40A51">
        <w:t>Corte di Cassazione, giudici di merito e giudici amministrativi</w:t>
      </w:r>
      <w:r w:rsidR="00A40A51">
        <w:t xml:space="preserve">” nell’ambito </w:t>
      </w:r>
      <w:r w:rsidRPr="00A04011">
        <w:rPr>
          <w:i/>
        </w:rPr>
        <w:t>dell'Osservatorio costituzionale del sito dell'Associazione</w:t>
      </w:r>
      <w:r>
        <w:rPr>
          <w:i/>
        </w:rPr>
        <w:t xml:space="preserve"> italiana dei costituzionalisti</w:t>
      </w:r>
      <w:r w:rsidR="008B0B27">
        <w:rPr>
          <w:i/>
        </w:rPr>
        <w:t>.</w:t>
      </w:r>
    </w:p>
    <w:p w:rsidR="00082808" w:rsidRPr="00082808" w:rsidRDefault="00082808" w:rsidP="003108BF">
      <w:pPr>
        <w:pStyle w:val="Risultato"/>
        <w:ind w:left="567"/>
        <w:jc w:val="both"/>
      </w:pPr>
      <w:r w:rsidRPr="00082808">
        <w:t xml:space="preserve">Dal 1° gennaio del 2019 sino al momento attuale è componente del comitato scientifico della rivista </w:t>
      </w:r>
      <w:r>
        <w:rPr>
          <w:i/>
        </w:rPr>
        <w:t xml:space="preserve">Democrazia e Diritto </w:t>
      </w:r>
      <w:r w:rsidRPr="00082808">
        <w:t>edita dalla Franco Angeli editore.</w:t>
      </w:r>
    </w:p>
    <w:p w:rsidR="0031600B" w:rsidRPr="0031600B" w:rsidRDefault="0031600B" w:rsidP="003108BF">
      <w:pPr>
        <w:pStyle w:val="Risultato"/>
        <w:ind w:left="567"/>
        <w:jc w:val="both"/>
      </w:pPr>
      <w:r>
        <w:t>Dall'</w:t>
      </w:r>
      <w:r w:rsidR="00082808">
        <w:t xml:space="preserve">aprile </w:t>
      </w:r>
      <w:r w:rsidRPr="0031600B">
        <w:t>2019 sino al momen</w:t>
      </w:r>
      <w:r w:rsidR="00293227">
        <w:t xml:space="preserve">to attuale membro della </w:t>
      </w:r>
      <w:r w:rsidRPr="0031600B">
        <w:t xml:space="preserve">redazione (sezione giurisprudenza) dell'Osservatorio </w:t>
      </w:r>
      <w:proofErr w:type="spellStart"/>
      <w:r w:rsidRPr="0031600B">
        <w:t>Aic</w:t>
      </w:r>
      <w:proofErr w:type="spellEnd"/>
      <w:r w:rsidRPr="0031600B">
        <w:t>.</w:t>
      </w:r>
    </w:p>
    <w:p w:rsidR="008B0B27" w:rsidRDefault="008B0B27" w:rsidP="003108BF">
      <w:pPr>
        <w:pStyle w:val="Risultato"/>
        <w:ind w:left="567"/>
        <w:jc w:val="both"/>
      </w:pPr>
      <w:r>
        <w:t>Dal</w:t>
      </w:r>
      <w:r w:rsidR="006034A6">
        <w:t xml:space="preserve"> </w:t>
      </w:r>
      <w:r>
        <w:t xml:space="preserve">2014 </w:t>
      </w:r>
      <w:r w:rsidR="000E0FAC">
        <w:t xml:space="preserve">al 2019 </w:t>
      </w:r>
      <w:r>
        <w:t>è</w:t>
      </w:r>
      <w:r w:rsidR="000E0FAC">
        <w:t xml:space="preserve"> stato</w:t>
      </w:r>
      <w:r>
        <w:t xml:space="preserve"> coordinatore (insieme ad Antonio Iannuzzi</w:t>
      </w:r>
      <w:r w:rsidR="009543D1">
        <w:t xml:space="preserve"> e Giovanni D’Alessandro</w:t>
      </w:r>
      <w:r>
        <w:t xml:space="preserve">) della sezione normativa del Focus dedicato alle fonti del diritto edito nella rivista </w:t>
      </w:r>
      <w:hyperlink r:id="rId8" w:history="1">
        <w:r w:rsidR="002C1F7C" w:rsidRPr="00360AA7">
          <w:rPr>
            <w:rStyle w:val="Collegamentoipertestuale"/>
          </w:rPr>
          <w:t>www.federalismi.it</w:t>
        </w:r>
      </w:hyperlink>
      <w:r>
        <w:t>.</w:t>
      </w:r>
    </w:p>
    <w:p w:rsidR="002C1F7C" w:rsidRDefault="002C1F7C" w:rsidP="003108BF">
      <w:pPr>
        <w:pStyle w:val="Risultato"/>
        <w:ind w:left="567"/>
        <w:jc w:val="both"/>
      </w:pPr>
      <w:r>
        <w:t xml:space="preserve">Dal 2017 componente del comitato scientifico della Collana Progetto Polis edita dalla casa editrice </w:t>
      </w:r>
      <w:r w:rsidRPr="002C1F7C">
        <w:rPr>
          <w:i/>
        </w:rPr>
        <w:t>E</w:t>
      </w:r>
      <w:r>
        <w:t xml:space="preserve">ditoriale </w:t>
      </w:r>
      <w:r w:rsidRPr="002C1F7C">
        <w:rPr>
          <w:i/>
        </w:rPr>
        <w:t>S</w:t>
      </w:r>
      <w:r>
        <w:t>cientifica di Napoli.</w:t>
      </w:r>
    </w:p>
    <w:p w:rsidR="000E0FAC" w:rsidRDefault="002C1F7C" w:rsidP="003108BF">
      <w:pPr>
        <w:pStyle w:val="Risultato"/>
        <w:ind w:left="567"/>
        <w:jc w:val="both"/>
      </w:pPr>
      <w:r>
        <w:t xml:space="preserve">Dal 2017 componente del comitato di direzione della Collana </w:t>
      </w:r>
      <w:r w:rsidRPr="00181B11">
        <w:rPr>
          <w:i/>
        </w:rPr>
        <w:t xml:space="preserve">Law and </w:t>
      </w:r>
      <w:proofErr w:type="spellStart"/>
      <w:r w:rsidRPr="00181B11">
        <w:rPr>
          <w:i/>
        </w:rPr>
        <w:t>legal</w:t>
      </w:r>
      <w:proofErr w:type="spellEnd"/>
      <w:r w:rsidRPr="00181B11">
        <w:rPr>
          <w:i/>
        </w:rPr>
        <w:t xml:space="preserve"> Institutions</w:t>
      </w:r>
      <w:r>
        <w:t xml:space="preserve"> edita dalla casa editrice Giappichelli di Torino.</w:t>
      </w:r>
    </w:p>
    <w:p w:rsidR="0031600B" w:rsidRDefault="0031600B" w:rsidP="0031600B">
      <w:pPr>
        <w:pStyle w:val="Risultato"/>
        <w:ind w:left="567"/>
        <w:jc w:val="both"/>
      </w:pPr>
      <w:r>
        <w:t>Nell' A.A. 2018-2019 è stato referente regionale per l’Associazione Italiana dei Costituzionalisti del Protocollo AIC-MIUR rivolto a «Favorire l’apprendimento dello studio e dei metodi di insegnamento del diritto costituzionale».</w:t>
      </w:r>
    </w:p>
    <w:p w:rsidR="001952A2" w:rsidRDefault="001952A2" w:rsidP="001952A2">
      <w:pPr>
        <w:pStyle w:val="Risultato"/>
        <w:ind w:left="567"/>
        <w:jc w:val="both"/>
      </w:pPr>
      <w:r>
        <w:t xml:space="preserve">È stato componente del comitato scientifico del numero monografico della rivista Giurisprudenza penale </w:t>
      </w:r>
      <w:proofErr w:type="gramStart"/>
      <w:r>
        <w:t>web ,</w:t>
      </w:r>
      <w:proofErr w:type="gramEnd"/>
      <w:r>
        <w:t xml:space="preserve"> n. 1-bis/2019 sul tema: «</w:t>
      </w:r>
      <w:r w:rsidRPr="001952A2">
        <w:rPr>
          <w:i/>
        </w:rPr>
        <w:t>Questioni di fine vita</w:t>
      </w:r>
      <w:r>
        <w:t>. Dalla Legge 22 dicembre 2017, n. 219 alla ordinanza della Corte Costituzionale nel caso Cappato»</w:t>
      </w:r>
    </w:p>
    <w:p w:rsidR="0088535F" w:rsidRPr="008B0B27" w:rsidRDefault="00054A45" w:rsidP="0088535F">
      <w:pPr>
        <w:pStyle w:val="Risultato"/>
        <w:ind w:left="567"/>
        <w:jc w:val="both"/>
      </w:pPr>
      <w:r>
        <w:rPr>
          <w:rFonts w:cs="Calibri"/>
        </w:rPr>
        <w:t>È</w:t>
      </w:r>
      <w:r>
        <w:t xml:space="preserve"> </w:t>
      </w:r>
      <w:r w:rsidR="004C5C44">
        <w:t xml:space="preserve">stato </w:t>
      </w:r>
      <w:r>
        <w:t xml:space="preserve">revisore delle </w:t>
      </w:r>
      <w:r w:rsidR="001D0DF4">
        <w:t xml:space="preserve">seguenti </w:t>
      </w:r>
      <w:r>
        <w:t>riviste</w:t>
      </w:r>
      <w:r w:rsidR="001D0DF4">
        <w:t>:</w:t>
      </w:r>
      <w:r>
        <w:t xml:space="preserve"> </w:t>
      </w:r>
      <w:r w:rsidR="00E929E0">
        <w:t xml:space="preserve">Diritto Pubblico, </w:t>
      </w:r>
      <w:r w:rsidR="001D0DF4">
        <w:t>www.</w:t>
      </w:r>
      <w:r>
        <w:t>osservatorioaic.it,</w:t>
      </w:r>
      <w:r w:rsidR="00E929E0">
        <w:t xml:space="preserve"> </w:t>
      </w:r>
      <w:r w:rsidR="001D0DF4">
        <w:t xml:space="preserve"> </w:t>
      </w:r>
      <w:hyperlink r:id="rId9" w:history="1">
        <w:r w:rsidR="0088535F" w:rsidRPr="007A5881">
          <w:rPr>
            <w:rStyle w:val="Collegamentoipertestuale"/>
          </w:rPr>
          <w:t>www.Ambientediritto.it</w:t>
        </w:r>
      </w:hyperlink>
      <w:r w:rsidR="004C5C44">
        <w:t>, Federalismi.it</w:t>
      </w:r>
      <w:r w:rsidR="00E929E0">
        <w:t>, Democrazia e Diritto, Diritto e Questioni Pubbliche.</w:t>
      </w:r>
    </w:p>
    <w:p w:rsidR="006C32C8" w:rsidRDefault="006C32C8" w:rsidP="003108BF">
      <w:pPr>
        <w:pStyle w:val="Risultato"/>
        <w:ind w:left="567"/>
        <w:jc w:val="both"/>
        <w:rPr>
          <w:b/>
          <w:sz w:val="28"/>
        </w:rPr>
      </w:pPr>
      <w:r>
        <w:rPr>
          <w:b/>
          <w:sz w:val="28"/>
        </w:rPr>
        <w:t>Pubblicazioni</w:t>
      </w:r>
    </w:p>
    <w:p w:rsidR="00152288" w:rsidRPr="0014061B" w:rsidRDefault="00F05FB6" w:rsidP="003108BF">
      <w:pPr>
        <w:pStyle w:val="Risulta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Monografia</w:t>
      </w:r>
    </w:p>
    <w:p w:rsidR="00152288" w:rsidRDefault="00152288" w:rsidP="003108BF">
      <w:pPr>
        <w:pStyle w:val="Risultato"/>
        <w:numPr>
          <w:ilvl w:val="0"/>
          <w:numId w:val="13"/>
        </w:numPr>
        <w:ind w:left="567" w:firstLine="0"/>
        <w:jc w:val="both"/>
      </w:pPr>
      <w:r w:rsidRPr="009E677C">
        <w:rPr>
          <w:i/>
        </w:rPr>
        <w:t>Il referendum costituzionale nei processi di riforma della Repubblica</w:t>
      </w:r>
      <w:r>
        <w:t xml:space="preserve">, </w:t>
      </w:r>
      <w:r w:rsidR="006E0BE1">
        <w:t xml:space="preserve">Editoriale Scientifica, Napoli, </w:t>
      </w:r>
      <w:r>
        <w:t>2013.</w:t>
      </w:r>
    </w:p>
    <w:p w:rsidR="000E01B3" w:rsidRPr="00152288" w:rsidRDefault="000E01B3" w:rsidP="003108BF">
      <w:pPr>
        <w:pStyle w:val="Risultato"/>
        <w:numPr>
          <w:ilvl w:val="0"/>
          <w:numId w:val="13"/>
        </w:numPr>
        <w:ind w:left="567" w:firstLine="0"/>
        <w:jc w:val="both"/>
      </w:pPr>
      <w:r w:rsidRPr="000E01B3">
        <w:rPr>
          <w:i/>
        </w:rPr>
        <w:t>Ricerca scientifica e libertà di cura. Scientismo ed antiscientismo nella prospettiva costituzionale,</w:t>
      </w:r>
      <w:r>
        <w:t xml:space="preserve"> Editoriale scientifica, Napoli, 2019.</w:t>
      </w:r>
    </w:p>
    <w:p w:rsidR="006C32C8" w:rsidRDefault="006C32C8" w:rsidP="003108BF">
      <w:pPr>
        <w:pStyle w:val="Risultato"/>
        <w:ind w:left="567"/>
        <w:jc w:val="both"/>
        <w:rPr>
          <w:b/>
        </w:rPr>
      </w:pPr>
      <w:r>
        <w:rPr>
          <w:b/>
        </w:rPr>
        <w:t>Articoli e saggi</w:t>
      </w:r>
    </w:p>
    <w:p w:rsidR="006C32C8" w:rsidRPr="003B7B60" w:rsidRDefault="006C32C8" w:rsidP="003108BF">
      <w:pPr>
        <w:pStyle w:val="Risultato"/>
        <w:numPr>
          <w:ilvl w:val="0"/>
          <w:numId w:val="7"/>
        </w:numPr>
        <w:ind w:left="567" w:firstLine="0"/>
        <w:jc w:val="both"/>
      </w:pPr>
      <w:r w:rsidRPr="003B7B60">
        <w:t xml:space="preserve">Breve saggio dal titolo </w:t>
      </w:r>
      <w:r w:rsidRPr="003B7B60">
        <w:rPr>
          <w:i/>
        </w:rPr>
        <w:t>Democrazia maggioritaria e garanzie costituzionali</w:t>
      </w:r>
      <w:r w:rsidRPr="003B7B60">
        <w:t xml:space="preserve">, pubblicato sui </w:t>
      </w:r>
      <w:proofErr w:type="spellStart"/>
      <w:r w:rsidRPr="003B7B60">
        <w:t>nn</w:t>
      </w:r>
      <w:proofErr w:type="spellEnd"/>
      <w:r w:rsidRPr="003B7B60">
        <w:t>. 3/4-1993 della rivista “Quaderni del Ponte”</w:t>
      </w:r>
      <w:r w:rsidR="001A5F10" w:rsidRPr="003B7B60">
        <w:t xml:space="preserve"> </w:t>
      </w:r>
      <w:r w:rsidRPr="003B7B60">
        <w:t xml:space="preserve">diretta da Michele Prospero, edita dalla casa editrice </w:t>
      </w:r>
      <w:proofErr w:type="spellStart"/>
      <w:r w:rsidRPr="003B7B60">
        <w:t>Mètis</w:t>
      </w:r>
      <w:proofErr w:type="spellEnd"/>
      <w:r w:rsidRPr="003B7B60">
        <w:t xml:space="preserve"> di Chieti.</w:t>
      </w:r>
    </w:p>
    <w:p w:rsidR="006C32C8" w:rsidRPr="003B7B60" w:rsidRDefault="006C32C8" w:rsidP="003108BF">
      <w:pPr>
        <w:pStyle w:val="Risultato"/>
        <w:numPr>
          <w:ilvl w:val="0"/>
          <w:numId w:val="7"/>
        </w:numPr>
        <w:ind w:left="567" w:firstLine="0"/>
        <w:jc w:val="both"/>
      </w:pPr>
      <w:r w:rsidRPr="003B7B60">
        <w:t>Saggio dal titolo</w:t>
      </w:r>
      <w:r w:rsidRPr="003B7B60">
        <w:rPr>
          <w:i/>
        </w:rPr>
        <w:t xml:space="preserve"> Crisi della legge e negoziazione legislativa nella transizione istituzionale italiana</w:t>
      </w:r>
      <w:r w:rsidRPr="003B7B60">
        <w:t>, pubblicato nel volume collettaneo a cura di Franco Modugno,</w:t>
      </w:r>
      <w:r w:rsidR="001A5F10" w:rsidRPr="003B7B60">
        <w:t xml:space="preserve"> </w:t>
      </w:r>
      <w:r w:rsidRPr="003B7B60">
        <w:rPr>
          <w:i/>
        </w:rPr>
        <w:t>Trasformazioni della funzione legislativa,</w:t>
      </w:r>
      <w:r w:rsidRPr="003B7B60">
        <w:t xml:space="preserve"> II, </w:t>
      </w:r>
      <w:r w:rsidRPr="003B7B60">
        <w:rPr>
          <w:i/>
        </w:rPr>
        <w:t>Crisi della legge e sistema delle fonti</w:t>
      </w:r>
      <w:r w:rsidRPr="003B7B60">
        <w:t>, Giuffrè, 2000.</w:t>
      </w:r>
    </w:p>
    <w:p w:rsidR="006C32C8" w:rsidRPr="003B7B60" w:rsidRDefault="006C32C8" w:rsidP="003108BF">
      <w:pPr>
        <w:pStyle w:val="Risultato"/>
        <w:numPr>
          <w:ilvl w:val="0"/>
          <w:numId w:val="7"/>
        </w:numPr>
        <w:ind w:left="567" w:firstLine="0"/>
        <w:jc w:val="both"/>
      </w:pPr>
      <w:r w:rsidRPr="003B7B60">
        <w:t>Articolo dal titolo</w:t>
      </w:r>
      <w:r w:rsidR="001A5F10" w:rsidRPr="003B7B60">
        <w:t xml:space="preserve"> </w:t>
      </w:r>
      <w:r w:rsidRPr="003B7B60">
        <w:rPr>
          <w:i/>
        </w:rPr>
        <w:t>Modifiche ed integrazioni alla legge sullo sciopero nei servizi pubblici essenziali,</w:t>
      </w:r>
      <w:r w:rsidR="001A5F10" w:rsidRPr="003B7B60">
        <w:rPr>
          <w:i/>
        </w:rPr>
        <w:t xml:space="preserve"> </w:t>
      </w:r>
      <w:r w:rsidRPr="003B7B60">
        <w:t xml:space="preserve">pubblicato sulla rivista </w:t>
      </w:r>
      <w:r w:rsidRPr="003B7B60">
        <w:rPr>
          <w:i/>
        </w:rPr>
        <w:t>Le nuove Leggi Civili commentate</w:t>
      </w:r>
      <w:r w:rsidRPr="003B7B60">
        <w:t>, n.5/2000.</w:t>
      </w:r>
    </w:p>
    <w:p w:rsidR="006C32C8" w:rsidRPr="003B7B60" w:rsidRDefault="006C32C8" w:rsidP="003108BF">
      <w:pPr>
        <w:pStyle w:val="Risultato"/>
        <w:numPr>
          <w:ilvl w:val="0"/>
          <w:numId w:val="7"/>
        </w:numPr>
        <w:ind w:left="567" w:firstLine="0"/>
        <w:jc w:val="both"/>
      </w:pPr>
      <w:r w:rsidRPr="003B7B60">
        <w:t>Articolo dal titolo</w:t>
      </w:r>
      <w:r w:rsidR="001A5F10" w:rsidRPr="003B7B60">
        <w:t xml:space="preserve"> </w:t>
      </w:r>
      <w:r w:rsidR="001614BF" w:rsidRPr="003B7B60">
        <w:rPr>
          <w:i/>
        </w:rPr>
        <w:t>Nuove specialità</w:t>
      </w:r>
      <w:r w:rsidRPr="003B7B60">
        <w:rPr>
          <w:i/>
        </w:rPr>
        <w:t xml:space="preserve"> e tutela delle minoranze linguistiche (Il caso</w:t>
      </w:r>
      <w:r w:rsidR="001A5F10" w:rsidRPr="003B7B60">
        <w:rPr>
          <w:i/>
        </w:rPr>
        <w:t xml:space="preserve"> </w:t>
      </w:r>
      <w:r w:rsidRPr="003B7B60">
        <w:rPr>
          <w:i/>
        </w:rPr>
        <w:t>del</w:t>
      </w:r>
      <w:r w:rsidR="001A5F10" w:rsidRPr="003B7B60">
        <w:rPr>
          <w:i/>
        </w:rPr>
        <w:t xml:space="preserve"> </w:t>
      </w:r>
      <w:r w:rsidRPr="003B7B60">
        <w:rPr>
          <w:i/>
        </w:rPr>
        <w:t>Trentino Alto Adige)</w:t>
      </w:r>
      <w:r w:rsidRPr="003B7B60">
        <w:rPr>
          <w:b/>
        </w:rPr>
        <w:t xml:space="preserve"> </w:t>
      </w:r>
      <w:r w:rsidRPr="003B7B60">
        <w:t>edito nel volume collettaneo curato da Antonio Ferrara e Giulio Maria Salerno dal titolo: “Le nuove specialità</w:t>
      </w:r>
      <w:r w:rsidR="001A5F10" w:rsidRPr="003B7B60">
        <w:t xml:space="preserve"> </w:t>
      </w:r>
      <w:r w:rsidRPr="003B7B60">
        <w:t>nella riforma dell’ordinam</w:t>
      </w:r>
      <w:r w:rsidR="001D0DF4">
        <w:t xml:space="preserve">ento regionale”, Milano, </w:t>
      </w:r>
      <w:proofErr w:type="spellStart"/>
      <w:r w:rsidR="001D0DF4">
        <w:t>Giuffré</w:t>
      </w:r>
      <w:proofErr w:type="spellEnd"/>
      <w:r w:rsidRPr="003B7B60">
        <w:t>, 2003.</w:t>
      </w:r>
    </w:p>
    <w:p w:rsidR="00B96E8C" w:rsidRPr="003B7B60" w:rsidRDefault="006C32C8" w:rsidP="003108BF">
      <w:pPr>
        <w:numPr>
          <w:ilvl w:val="0"/>
          <w:numId w:val="7"/>
        </w:numPr>
        <w:ind w:left="567" w:right="232" w:firstLine="0"/>
        <w:jc w:val="both"/>
        <w:rPr>
          <w:i/>
        </w:rPr>
      </w:pPr>
      <w:r w:rsidRPr="003B7B60">
        <w:lastRenderedPageBreak/>
        <w:t xml:space="preserve">Saggio dal titolo </w:t>
      </w:r>
      <w:r w:rsidRPr="003B7B60">
        <w:rPr>
          <w:i/>
        </w:rPr>
        <w:t>La giustizia costituzionale in Portogallo</w:t>
      </w:r>
      <w:r w:rsidRPr="003B7B60">
        <w:t xml:space="preserve">, in Av. Av., </w:t>
      </w:r>
      <w:r w:rsidRPr="003B7B60">
        <w:rPr>
          <w:i/>
        </w:rPr>
        <w:t>La Giustizia</w:t>
      </w:r>
      <w:r w:rsidR="001A5F10" w:rsidRPr="003B7B60">
        <w:rPr>
          <w:i/>
        </w:rPr>
        <w:t xml:space="preserve"> </w:t>
      </w:r>
      <w:r w:rsidRPr="003B7B60">
        <w:rPr>
          <w:i/>
        </w:rPr>
        <w:t>costituzionale in Europa</w:t>
      </w:r>
      <w:r w:rsidRPr="003B7B60">
        <w:t xml:space="preserve">, a cura di Marco Olivetti e Tania Groppi, con premessa di G. </w:t>
      </w:r>
      <w:proofErr w:type="spellStart"/>
      <w:r w:rsidRPr="003B7B60">
        <w:t>Zagrebelsky</w:t>
      </w:r>
      <w:proofErr w:type="spellEnd"/>
      <w:r w:rsidRPr="003B7B60">
        <w:t>, Milano, 2003.</w:t>
      </w:r>
      <w:r w:rsidR="006034A6">
        <w:t xml:space="preserve"> </w:t>
      </w:r>
    </w:p>
    <w:p w:rsidR="006C32C8" w:rsidRPr="003B7B60" w:rsidRDefault="006C32C8" w:rsidP="003108BF">
      <w:pPr>
        <w:numPr>
          <w:ilvl w:val="0"/>
          <w:numId w:val="7"/>
        </w:numPr>
        <w:ind w:left="567" w:right="232" w:firstLine="0"/>
        <w:jc w:val="both"/>
        <w:rPr>
          <w:i/>
        </w:rPr>
      </w:pPr>
      <w:r w:rsidRPr="003B7B60">
        <w:t xml:space="preserve">Saggio dal titolo </w:t>
      </w:r>
      <w:r w:rsidRPr="003B7B60">
        <w:rPr>
          <w:i/>
        </w:rPr>
        <w:t>Alla ricerca di uno statuto giuridico dei poteri sosti</w:t>
      </w:r>
      <w:r w:rsidR="001D0DF4">
        <w:rPr>
          <w:i/>
        </w:rPr>
        <w:t>t</w:t>
      </w:r>
      <w:r w:rsidRPr="003B7B60">
        <w:rPr>
          <w:i/>
        </w:rPr>
        <w:t>utivi ex art. 120, II comma,</w:t>
      </w:r>
      <w:r w:rsidR="001A5F10" w:rsidRPr="003B7B60">
        <w:rPr>
          <w:i/>
        </w:rPr>
        <w:t xml:space="preserve"> </w:t>
      </w:r>
      <w:r w:rsidRPr="003B7B60">
        <w:rPr>
          <w:i/>
        </w:rPr>
        <w:t>Cost.,</w:t>
      </w:r>
      <w:r w:rsidRPr="003B7B60">
        <w:t xml:space="preserve"> in </w:t>
      </w:r>
      <w:proofErr w:type="spellStart"/>
      <w:r w:rsidRPr="003B7B60">
        <w:t>Aa.Av</w:t>
      </w:r>
      <w:proofErr w:type="spellEnd"/>
      <w:r w:rsidRPr="003B7B60">
        <w:t xml:space="preserve">., </w:t>
      </w:r>
      <w:r w:rsidRPr="003B7B60">
        <w:rPr>
          <w:i/>
        </w:rPr>
        <w:t>I nuovi rapporti Stato-Regione dopo la riforma del Titolo V,</w:t>
      </w:r>
      <w:r w:rsidRPr="003B7B60">
        <w:t xml:space="preserve"> a cura di Franco Modugno</w:t>
      </w:r>
      <w:r w:rsidR="001A5F10" w:rsidRPr="003B7B60">
        <w:t xml:space="preserve"> </w:t>
      </w:r>
      <w:r w:rsidRPr="003B7B60">
        <w:t>e Paolo Carnevale, Milano, 2003.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Articoli sui </w:t>
      </w:r>
      <w:r w:rsidRPr="003B7B60">
        <w:rPr>
          <w:i/>
        </w:rPr>
        <w:t xml:space="preserve">Trattamenti sanitari coattivi </w:t>
      </w:r>
      <w:r w:rsidRPr="003B7B60">
        <w:t>e sulla</w:t>
      </w:r>
      <w:r w:rsidR="001A5F10" w:rsidRPr="003B7B60">
        <w:rPr>
          <w:i/>
        </w:rPr>
        <w:t xml:space="preserve"> </w:t>
      </w:r>
      <w:r w:rsidRPr="003B7B60">
        <w:rPr>
          <w:i/>
        </w:rPr>
        <w:t>libertà sindacale ed il diritto di sciopero,</w:t>
      </w:r>
      <w:r w:rsidR="001A5F10" w:rsidRPr="003B7B60">
        <w:t xml:space="preserve"> </w:t>
      </w:r>
      <w:r w:rsidRPr="003B7B60">
        <w:t xml:space="preserve">nell’ambito della ricerca dal titolo </w:t>
      </w:r>
      <w:proofErr w:type="gramStart"/>
      <w:r w:rsidRPr="003B7B60">
        <w:t xml:space="preserve">“ </w:t>
      </w:r>
      <w:proofErr w:type="spellStart"/>
      <w:r w:rsidRPr="003B7B60">
        <w:t>Fundamental</w:t>
      </w:r>
      <w:proofErr w:type="spellEnd"/>
      <w:proofErr w:type="gramEnd"/>
      <w:r w:rsidRPr="003B7B60">
        <w:t xml:space="preserve"> Rights in Europe and North America” diretta dal prof. A. Weber (2004)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>Articolo dal titolo B</w:t>
      </w:r>
      <w:r w:rsidRPr="003B7B60">
        <w:rPr>
          <w:i/>
        </w:rPr>
        <w:t>revi notazioni sul problematico statuto giuridico della disapplicazione</w:t>
      </w:r>
      <w:r w:rsidR="001A5F10" w:rsidRPr="003B7B60">
        <w:rPr>
          <w:i/>
        </w:rPr>
        <w:t xml:space="preserve"> </w:t>
      </w:r>
      <w:r w:rsidRPr="003B7B60">
        <w:rPr>
          <w:i/>
        </w:rPr>
        <w:t>degli atti normativi,</w:t>
      </w:r>
      <w:r w:rsidRPr="003B7B60">
        <w:t xml:space="preserve"> </w:t>
      </w:r>
      <w:r w:rsidRPr="003B7B60">
        <w:rPr>
          <w:i/>
        </w:rPr>
        <w:t>in</w:t>
      </w:r>
      <w:r w:rsidR="001A5F10" w:rsidRPr="003B7B60">
        <w:rPr>
          <w:i/>
        </w:rPr>
        <w:t xml:space="preserve"> </w:t>
      </w:r>
      <w:r w:rsidRPr="003B7B60">
        <w:rPr>
          <w:i/>
        </w:rPr>
        <w:t xml:space="preserve">Nuova Temi Ciociara, </w:t>
      </w:r>
      <w:r w:rsidRPr="003B7B60">
        <w:t>n. 1/2004.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dal titolo </w:t>
      </w:r>
      <w:r w:rsidRPr="003B7B60">
        <w:rPr>
          <w:i/>
        </w:rPr>
        <w:t>La giurisprudenza amministrativa e l’attività consultiva del Consiglio di Stato</w:t>
      </w:r>
      <w:r w:rsidRPr="003B7B60">
        <w:t xml:space="preserve"> edito nel</w:t>
      </w:r>
      <w:r w:rsidR="001A5F10" w:rsidRPr="003B7B60">
        <w:t xml:space="preserve"> </w:t>
      </w:r>
      <w:r w:rsidRPr="003B7B60">
        <w:rPr>
          <w:i/>
        </w:rPr>
        <w:t>Secondo rapporto annuale sullo stato del regionalismo in Italia (2003</w:t>
      </w:r>
      <w:r w:rsidRPr="003B7B60">
        <w:t>), Milano, 2004.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dal titolo </w:t>
      </w:r>
      <w:r w:rsidRPr="003B7B60">
        <w:rPr>
          <w:i/>
        </w:rPr>
        <w:t>La giurisprudenza amministrativa e l’attività consultiva del Consiglio di Stato</w:t>
      </w:r>
      <w:r w:rsidRPr="003B7B60">
        <w:t xml:space="preserve"> edito nel</w:t>
      </w:r>
      <w:r w:rsidR="001A5F10" w:rsidRPr="003B7B60">
        <w:t xml:space="preserve"> </w:t>
      </w:r>
      <w:r w:rsidRPr="003B7B60">
        <w:rPr>
          <w:i/>
        </w:rPr>
        <w:t>Terzo rapporto annuale sullo stato del regionalismo in Italia (2004</w:t>
      </w:r>
      <w:r w:rsidRPr="003B7B60">
        <w:t>), Milano, 2005.</w:t>
      </w:r>
    </w:p>
    <w:p w:rsidR="0014061B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I poteri sostitutivi nella Repubblica delle Autonomie</w:t>
      </w:r>
      <w:r w:rsidRPr="003B7B60">
        <w:t xml:space="preserve"> in </w:t>
      </w:r>
      <w:r w:rsidRPr="003B7B60">
        <w:rPr>
          <w:i/>
        </w:rPr>
        <w:t>Rassegna Parlamentare</w:t>
      </w:r>
      <w:r w:rsidRPr="003B7B60">
        <w:t xml:space="preserve"> n. 4/2006.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dal titolo </w:t>
      </w:r>
      <w:r w:rsidRPr="003B7B60">
        <w:rPr>
          <w:i/>
        </w:rPr>
        <w:t>La giurisprudenza amministrativa e l’attività consultiva del Consiglio di Stato</w:t>
      </w:r>
      <w:r w:rsidRPr="003B7B60">
        <w:t xml:space="preserve"> edito nel</w:t>
      </w:r>
      <w:r w:rsidR="001A5F10" w:rsidRPr="003B7B60">
        <w:t xml:space="preserve"> </w:t>
      </w:r>
      <w:r w:rsidRPr="003B7B60">
        <w:rPr>
          <w:i/>
        </w:rPr>
        <w:t>Quarto rapporto annuale sullo stato del regionalismo in Italia (2005),</w:t>
      </w:r>
      <w:r w:rsidRPr="003B7B60">
        <w:t xml:space="preserve"> Milano, 2007.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>Articolo dal titolo</w:t>
      </w:r>
      <w:r w:rsidRPr="003B7B60">
        <w:rPr>
          <w:i/>
        </w:rPr>
        <w:t xml:space="preserve"> Brevi considerazioni sulla costituzionalità del riconoscimento legale delle convivenze di fatto</w:t>
      </w:r>
      <w:r w:rsidRPr="003B7B60">
        <w:t xml:space="preserve"> (febbraio 2007) edito sul sito giuridico </w:t>
      </w:r>
      <w:hyperlink r:id="rId10" w:history="1">
        <w:r w:rsidRPr="003B7B60">
          <w:rPr>
            <w:rStyle w:val="Collegamentoipertestuale"/>
          </w:rPr>
          <w:t>www.eius.it</w:t>
        </w:r>
      </w:hyperlink>
      <w:r w:rsidR="001A5F10" w:rsidRPr="003B7B60">
        <w:t xml:space="preserve"> 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dal titolo </w:t>
      </w:r>
      <w:r w:rsidRPr="003B7B60">
        <w:rPr>
          <w:i/>
        </w:rPr>
        <w:t>La giurisprudenza amministrativa e l’attività consultiva del Consiglio di Stato</w:t>
      </w:r>
      <w:r w:rsidR="005605C0" w:rsidRPr="003B7B60">
        <w:t xml:space="preserve"> edito nel </w:t>
      </w:r>
      <w:r w:rsidRPr="003B7B60">
        <w:rPr>
          <w:i/>
        </w:rPr>
        <w:t>Quinto rapporto annuale sullo stato del regionalismo in Italia (2006-2007</w:t>
      </w:r>
      <w:r w:rsidRPr="003B7B60">
        <w:t>), Milano, 2008.</w:t>
      </w:r>
    </w:p>
    <w:p w:rsidR="006C32C8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Le riforme istituzionali a sessanta anni dall’entrata in vigore della Costituzione</w:t>
      </w:r>
      <w:r w:rsidRPr="003B7B60">
        <w:t xml:space="preserve">, in AA.VV., </w:t>
      </w:r>
      <w:r w:rsidRPr="003B7B60">
        <w:rPr>
          <w:i/>
        </w:rPr>
        <w:t>Attuazione ed integrazione della Costituzione</w:t>
      </w:r>
      <w:r w:rsidRPr="003B7B60">
        <w:t>, a cura di Franco Modugno,</w:t>
      </w:r>
      <w:r w:rsidR="001A5F10" w:rsidRPr="003B7B60">
        <w:t xml:space="preserve"> </w:t>
      </w:r>
      <w:r w:rsidRPr="003B7B60">
        <w:t>Napoli, 2008.</w:t>
      </w:r>
    </w:p>
    <w:p w:rsidR="009F25B5" w:rsidRPr="003B7B60" w:rsidRDefault="006C32C8" w:rsidP="003108BF">
      <w:pPr>
        <w:numPr>
          <w:ilvl w:val="0"/>
          <w:numId w:val="7"/>
        </w:numPr>
        <w:ind w:left="567" w:firstLine="0"/>
        <w:jc w:val="both"/>
      </w:pPr>
      <w:r w:rsidRPr="003B7B60">
        <w:rPr>
          <w:i/>
        </w:rPr>
        <w:t>Commento all’art. 13</w:t>
      </w:r>
      <w:r w:rsidRPr="003B7B60">
        <w:t xml:space="preserve"> in AA.VV., La </w:t>
      </w:r>
      <w:r w:rsidRPr="003B7B60">
        <w:rPr>
          <w:i/>
        </w:rPr>
        <w:t>Carta dei diritti dell’Unione Europea. Casi e materiali</w:t>
      </w:r>
      <w:r w:rsidRPr="003B7B60">
        <w:t xml:space="preserve">, a cura di Bisogni-Bronzini- Piccone, Taranto, 2009. </w:t>
      </w:r>
    </w:p>
    <w:p w:rsidR="006C32C8" w:rsidRPr="003B7B60" w:rsidRDefault="009F25B5" w:rsidP="003108BF">
      <w:pPr>
        <w:numPr>
          <w:ilvl w:val="0"/>
          <w:numId w:val="7"/>
        </w:numPr>
        <w:ind w:left="567" w:firstLine="0"/>
        <w:jc w:val="both"/>
      </w:pPr>
      <w:r w:rsidRPr="003B7B60">
        <w:rPr>
          <w:i/>
        </w:rPr>
        <w:t>Le garanzie costituzionali (artt. 134-139)</w:t>
      </w:r>
      <w:r w:rsidRPr="003B7B60">
        <w:t xml:space="preserve"> in AA.VV., </w:t>
      </w:r>
      <w:r w:rsidRPr="003B7B60">
        <w:rPr>
          <w:i/>
        </w:rPr>
        <w:t>Il coordinamento finale della Costituzione</w:t>
      </w:r>
      <w:r w:rsidRPr="003B7B60">
        <w:t xml:space="preserve">, a cura di Alfonso </w:t>
      </w:r>
      <w:proofErr w:type="spellStart"/>
      <w:r w:rsidRPr="003B7B60">
        <w:t>Celotto</w:t>
      </w:r>
      <w:proofErr w:type="spellEnd"/>
      <w:r w:rsidRPr="003B7B60">
        <w:t>, Napoli, 2009.</w:t>
      </w:r>
      <w:r w:rsidR="001A5F10" w:rsidRPr="003B7B60">
        <w:t xml:space="preserve"> </w:t>
      </w:r>
    </w:p>
    <w:p w:rsidR="005F71E0" w:rsidRDefault="005F71E0" w:rsidP="003108BF">
      <w:pPr>
        <w:numPr>
          <w:ilvl w:val="0"/>
          <w:numId w:val="7"/>
        </w:numPr>
        <w:ind w:left="567" w:firstLine="0"/>
        <w:jc w:val="both"/>
      </w:pPr>
      <w:r w:rsidRPr="003B7B60">
        <w:t>Autore del commento agli artt. 2, 4, 6, 29 della legge n. 42 del 2009 nel volume AA.VV</w:t>
      </w:r>
      <w:r w:rsidRPr="003B7B60">
        <w:rPr>
          <w:i/>
        </w:rPr>
        <w:t>.,</w:t>
      </w:r>
      <w:r w:rsidR="001A5F10" w:rsidRPr="003B7B60">
        <w:rPr>
          <w:i/>
        </w:rPr>
        <w:t xml:space="preserve"> </w:t>
      </w:r>
      <w:r w:rsidRPr="003B7B60">
        <w:rPr>
          <w:i/>
        </w:rPr>
        <w:t>Il federalismo fiscale</w:t>
      </w:r>
      <w:r w:rsidRPr="003B7B60">
        <w:t xml:space="preserve">, </w:t>
      </w:r>
      <w:r w:rsidRPr="003B7B60">
        <w:rPr>
          <w:i/>
        </w:rPr>
        <w:t>Commento alla legge n. 42 del 2009</w:t>
      </w:r>
      <w:r w:rsidRPr="003B7B60">
        <w:t>, a cura di A</w:t>
      </w:r>
      <w:r w:rsidR="001D0DF4">
        <w:t xml:space="preserve">. Ferrara- G. M. Salerno, </w:t>
      </w:r>
      <w:proofErr w:type="spellStart"/>
      <w:r w:rsidR="001D0DF4">
        <w:t>Jovene</w:t>
      </w:r>
      <w:proofErr w:type="spellEnd"/>
      <w:r w:rsidR="001D0DF4">
        <w:t xml:space="preserve"> Napoli</w:t>
      </w:r>
      <w:r w:rsidRPr="003B7B60">
        <w:t>, 2010.</w:t>
      </w:r>
      <w:r w:rsidR="001A5F10" w:rsidRPr="003B7B60">
        <w:t xml:space="preserve"> </w:t>
      </w:r>
    </w:p>
    <w:p w:rsidR="006463F0" w:rsidRPr="003B7B60" w:rsidRDefault="006463F0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dal titolo </w:t>
      </w:r>
      <w:r w:rsidRPr="003108BF">
        <w:rPr>
          <w:i/>
        </w:rPr>
        <w:t>La giurisprudenza amministrativa e l’attività consultiva del Consiglio di Stato</w:t>
      </w:r>
      <w:r w:rsidRPr="003B7B60">
        <w:t xml:space="preserve"> edito nel </w:t>
      </w:r>
      <w:r w:rsidRPr="003108BF">
        <w:rPr>
          <w:i/>
        </w:rPr>
        <w:t>Sesto rapporto annuale sullo stato del regionalismo in Italia</w:t>
      </w:r>
      <w:r w:rsidRPr="003B7B60">
        <w:t>, Milano, 2011.</w:t>
      </w:r>
    </w:p>
    <w:p w:rsidR="001B3EAB" w:rsidRPr="003B7B60" w:rsidRDefault="001B3EAB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Il filtro magico in nome della nomofilachia</w:t>
      </w:r>
      <w:r w:rsidRPr="003B7B60">
        <w:t xml:space="preserve"> in </w:t>
      </w:r>
      <w:r w:rsidRPr="003B7B60">
        <w:rPr>
          <w:i/>
        </w:rPr>
        <w:t>Studi</w:t>
      </w:r>
      <w:r w:rsidR="001A5F10" w:rsidRPr="003B7B60">
        <w:rPr>
          <w:i/>
        </w:rPr>
        <w:t xml:space="preserve"> </w:t>
      </w:r>
      <w:r w:rsidRPr="003B7B60">
        <w:rPr>
          <w:i/>
        </w:rPr>
        <w:t>in onore di Franco Modugno</w:t>
      </w:r>
      <w:r w:rsidRPr="003B7B60">
        <w:t>, II,</w:t>
      </w:r>
      <w:r w:rsidR="001D0DF4">
        <w:t xml:space="preserve"> ES,</w:t>
      </w:r>
      <w:r w:rsidRPr="003B7B60">
        <w:t xml:space="preserve"> Napoli 2011.</w:t>
      </w:r>
    </w:p>
    <w:p w:rsidR="0087221D" w:rsidRPr="003B7B60" w:rsidRDefault="0087221D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Articolo, </w:t>
      </w:r>
      <w:r w:rsidRPr="003B7B60">
        <w:rPr>
          <w:i/>
        </w:rPr>
        <w:t>Principio di uguaglianza ed interpretazione degli atti normativi</w:t>
      </w:r>
      <w:r w:rsidRPr="003B7B60">
        <w:t xml:space="preserve">, in AA.VV., </w:t>
      </w:r>
      <w:r w:rsidRPr="003B7B60">
        <w:rPr>
          <w:i/>
        </w:rPr>
        <w:t>Le declinazioni dell’</w:t>
      </w:r>
      <w:r w:rsidR="001C50E9" w:rsidRPr="003B7B60">
        <w:rPr>
          <w:i/>
        </w:rPr>
        <w:t>e</w:t>
      </w:r>
      <w:r w:rsidRPr="003B7B60">
        <w:rPr>
          <w:i/>
        </w:rPr>
        <w:t>guaglianza</w:t>
      </w:r>
      <w:r w:rsidRPr="003B7B60">
        <w:t xml:space="preserve">, a cura di A. </w:t>
      </w:r>
      <w:proofErr w:type="spellStart"/>
      <w:r w:rsidRPr="003B7B60">
        <w:t>Celotto</w:t>
      </w:r>
      <w:proofErr w:type="spellEnd"/>
      <w:r w:rsidRPr="003B7B60">
        <w:t xml:space="preserve">, </w:t>
      </w:r>
      <w:r w:rsidR="001D0DF4">
        <w:t xml:space="preserve">ES, </w:t>
      </w:r>
      <w:r w:rsidRPr="003B7B60">
        <w:t>Napoli, 2011.</w:t>
      </w:r>
    </w:p>
    <w:p w:rsidR="0087221D" w:rsidRPr="003B7B60" w:rsidRDefault="0087221D" w:rsidP="003108BF">
      <w:pPr>
        <w:numPr>
          <w:ilvl w:val="0"/>
          <w:numId w:val="7"/>
        </w:numPr>
        <w:ind w:left="567" w:firstLine="0"/>
        <w:jc w:val="both"/>
      </w:pPr>
      <w:r w:rsidRPr="003B7B60">
        <w:lastRenderedPageBreak/>
        <w:t xml:space="preserve">Articolo dal titolo </w:t>
      </w:r>
      <w:r w:rsidRPr="003B7B60">
        <w:rPr>
          <w:i/>
        </w:rPr>
        <w:t>La giurisprudenza amministrativa e l’attività consultiva del Consiglio di Stato</w:t>
      </w:r>
      <w:r w:rsidRPr="003B7B60">
        <w:t xml:space="preserve"> edito nel </w:t>
      </w:r>
      <w:r w:rsidRPr="003B7B60">
        <w:rPr>
          <w:i/>
        </w:rPr>
        <w:t>Sesto rapporto annuale sullo stato del regionalismo in Italia</w:t>
      </w:r>
      <w:r w:rsidR="00B96E8C" w:rsidRPr="003B7B60">
        <w:t xml:space="preserve">, </w:t>
      </w:r>
      <w:r w:rsidR="001D0DF4">
        <w:t xml:space="preserve">Giuffrè, </w:t>
      </w:r>
      <w:r w:rsidR="00B96E8C" w:rsidRPr="003B7B60">
        <w:t>Milano, 20</w:t>
      </w:r>
      <w:r w:rsidRPr="003B7B60">
        <w:t>11.</w:t>
      </w:r>
    </w:p>
    <w:p w:rsidR="00883F7B" w:rsidRPr="003B7B60" w:rsidRDefault="0014061B" w:rsidP="003108BF">
      <w:pPr>
        <w:numPr>
          <w:ilvl w:val="0"/>
          <w:numId w:val="7"/>
        </w:numPr>
        <w:ind w:left="567" w:firstLine="0"/>
        <w:jc w:val="both"/>
      </w:pPr>
      <w:r w:rsidRPr="003B7B60">
        <w:t>Articolo</w:t>
      </w:r>
      <w:r w:rsidR="00883F7B" w:rsidRPr="003B7B60">
        <w:t xml:space="preserve"> </w:t>
      </w:r>
      <w:r w:rsidR="000B07CF" w:rsidRPr="003B7B60">
        <w:rPr>
          <w:i/>
        </w:rPr>
        <w:t>La giurisprudenza amministrativa</w:t>
      </w:r>
      <w:r w:rsidR="000B07CF" w:rsidRPr="003B7B60">
        <w:t xml:space="preserve">, in </w:t>
      </w:r>
      <w:r w:rsidR="000B07CF" w:rsidRPr="003B7B60">
        <w:rPr>
          <w:i/>
        </w:rPr>
        <w:t>Rapporto sulle Regioni in Italia 2012</w:t>
      </w:r>
      <w:r w:rsidR="000B07CF" w:rsidRPr="003B7B60">
        <w:t>, a cura di Stel</w:t>
      </w:r>
      <w:r w:rsidR="00096005" w:rsidRPr="003B7B60">
        <w:t>io Mangiameli, Gruppo24Ore, Milano</w:t>
      </w:r>
      <w:r w:rsidR="000B07CF" w:rsidRPr="003B7B60">
        <w:t>, 2013.</w:t>
      </w:r>
    </w:p>
    <w:p w:rsidR="00883F7B" w:rsidRPr="003B7B60" w:rsidRDefault="00883F7B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Riforme costituzionali (in nome) del popolo sovrano</w:t>
      </w:r>
      <w:r w:rsidRPr="003B7B60">
        <w:t xml:space="preserve">, in </w:t>
      </w:r>
      <w:r w:rsidR="000A4E7D" w:rsidRPr="003B7B60">
        <w:t xml:space="preserve">AA.VV., </w:t>
      </w:r>
      <w:r w:rsidR="000A4E7D" w:rsidRPr="003B7B60">
        <w:rPr>
          <w:i/>
        </w:rPr>
        <w:t>Dalla costituzione inattuata</w:t>
      </w:r>
      <w:r w:rsidR="00C87511" w:rsidRPr="003B7B60">
        <w:rPr>
          <w:i/>
        </w:rPr>
        <w:t xml:space="preserve"> alla costituzione </w:t>
      </w:r>
      <w:proofErr w:type="gramStart"/>
      <w:r w:rsidR="00C87511" w:rsidRPr="003B7B60">
        <w:rPr>
          <w:i/>
        </w:rPr>
        <w:t>inattuale</w:t>
      </w:r>
      <w:r w:rsidR="000A4E7D" w:rsidRPr="003B7B60">
        <w:rPr>
          <w:i/>
        </w:rPr>
        <w:t>?.</w:t>
      </w:r>
      <w:proofErr w:type="gramEnd"/>
      <w:r w:rsidR="000A4E7D" w:rsidRPr="003B7B60">
        <w:rPr>
          <w:i/>
        </w:rPr>
        <w:t xml:space="preserve"> Potere costituente </w:t>
      </w:r>
      <w:r w:rsidR="00C87511" w:rsidRPr="003B7B60">
        <w:rPr>
          <w:i/>
        </w:rPr>
        <w:t>e riforme costituzionali nell’Italia repubblicana</w:t>
      </w:r>
      <w:r w:rsidR="00C87511" w:rsidRPr="003B7B60">
        <w:t xml:space="preserve">. Materiali dall’incontro di studio Ferrara, 24-25 gennaio 2013 - Per la storia del pensiero giuridico </w:t>
      </w:r>
      <w:proofErr w:type="gramStart"/>
      <w:r w:rsidR="00C87511" w:rsidRPr="003B7B60">
        <w:t>moderno,n.</w:t>
      </w:r>
      <w:proofErr w:type="gramEnd"/>
      <w:r w:rsidR="00C87511" w:rsidRPr="003B7B60">
        <w:t xml:space="preserve"> 103,</w:t>
      </w:r>
      <w:r w:rsidR="001A5F10" w:rsidRPr="003B7B60">
        <w:t xml:space="preserve"> </w:t>
      </w:r>
      <w:r w:rsidR="001D0DF4">
        <w:t xml:space="preserve">Giuffrè, </w:t>
      </w:r>
      <w:r w:rsidR="00C87511" w:rsidRPr="003B7B60">
        <w:t>Milan</w:t>
      </w:r>
      <w:r w:rsidR="0026415A" w:rsidRPr="003B7B60">
        <w:t xml:space="preserve">o, 2013 edito anche in </w:t>
      </w:r>
      <w:r w:rsidR="0026415A" w:rsidRPr="003B7B60">
        <w:rPr>
          <w:i/>
        </w:rPr>
        <w:t>Democrazia e Diritto</w:t>
      </w:r>
      <w:r w:rsidR="0026415A" w:rsidRPr="003B7B60">
        <w:t>, n. 1-2/2013.</w:t>
      </w:r>
    </w:p>
    <w:p w:rsidR="000B07CF" w:rsidRPr="003B7B60" w:rsidRDefault="000B07CF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</w:t>
      </w:r>
      <w:r w:rsidRPr="003B7B60">
        <w:rPr>
          <w:i/>
        </w:rPr>
        <w:t>La giurisprudenza amministrativa</w:t>
      </w:r>
      <w:r w:rsidRPr="003B7B60">
        <w:t xml:space="preserve">, in </w:t>
      </w:r>
      <w:r w:rsidRPr="003B7B60">
        <w:rPr>
          <w:i/>
        </w:rPr>
        <w:t>Rapporto sulle Regioni in Italia 201</w:t>
      </w:r>
      <w:r w:rsidR="00096005" w:rsidRPr="003B7B60">
        <w:rPr>
          <w:i/>
        </w:rPr>
        <w:t>3</w:t>
      </w:r>
      <w:r w:rsidRPr="003B7B60">
        <w:t>, a cura di Stelio Mangiameli, Grup</w:t>
      </w:r>
      <w:r w:rsidR="00096005" w:rsidRPr="003B7B60">
        <w:t>po24Ore, Milano</w:t>
      </w:r>
      <w:r w:rsidRPr="003B7B60">
        <w:t>, 2014.</w:t>
      </w:r>
    </w:p>
    <w:p w:rsidR="000837CD" w:rsidRPr="003B7B60" w:rsidRDefault="00096005" w:rsidP="003108BF">
      <w:pPr>
        <w:numPr>
          <w:ilvl w:val="0"/>
          <w:numId w:val="7"/>
        </w:numPr>
        <w:ind w:left="567" w:firstLine="0"/>
        <w:jc w:val="both"/>
      </w:pPr>
      <w:r w:rsidRPr="003B7B60">
        <w:t>Saggio</w:t>
      </w:r>
      <w:r w:rsidR="001A5F10" w:rsidRPr="003B7B60">
        <w:t xml:space="preserve"> </w:t>
      </w:r>
      <w:r w:rsidRPr="003B7B60">
        <w:t xml:space="preserve">dal titolo </w:t>
      </w:r>
      <w:r w:rsidRPr="003B7B60">
        <w:rPr>
          <w:i/>
        </w:rPr>
        <w:t>La condizione giuridica dello straniero tra ordinamento costituzionale, internazionale e comunitario nella prospettiva delle fonti del diritto</w:t>
      </w:r>
      <w:r w:rsidRPr="003B7B60">
        <w:t xml:space="preserve">, in AA.VV., </w:t>
      </w:r>
      <w:r w:rsidRPr="003B7B60">
        <w:rPr>
          <w:i/>
        </w:rPr>
        <w:t>Il diritto degli stranieri</w:t>
      </w:r>
      <w:r w:rsidRPr="003B7B60">
        <w:t xml:space="preserve">, a cura di A. </w:t>
      </w:r>
      <w:proofErr w:type="spellStart"/>
      <w:r w:rsidRPr="003B7B60">
        <w:t>Macrillò</w:t>
      </w:r>
      <w:proofErr w:type="spellEnd"/>
      <w:r w:rsidRPr="003B7B60">
        <w:t>,</w:t>
      </w:r>
      <w:r w:rsidR="001A5F10" w:rsidRPr="003B7B60">
        <w:t xml:space="preserve"> </w:t>
      </w:r>
      <w:r w:rsidRPr="003B7B60">
        <w:t>Cedam Padova, 2014.</w:t>
      </w:r>
    </w:p>
    <w:p w:rsidR="00B43499" w:rsidRPr="003B7B60" w:rsidRDefault="00B43499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La libertà di insegnamento</w:t>
      </w:r>
      <w:r w:rsidR="0002047C" w:rsidRPr="003B7B60">
        <w:t xml:space="preserve"> in AA.VV., </w:t>
      </w:r>
      <w:r w:rsidR="0002047C" w:rsidRPr="003B7B60">
        <w:rPr>
          <w:i/>
        </w:rPr>
        <w:t>Le dimensioni costituzionali dell’istruzione</w:t>
      </w:r>
      <w:r w:rsidR="0002047C" w:rsidRPr="003B7B60">
        <w:t xml:space="preserve">, Atti del convegno di Roma, 23-24 gennaio 2014, a cura di F. Angelini – M. Benvenuti, </w:t>
      </w:r>
      <w:proofErr w:type="spellStart"/>
      <w:r w:rsidR="00801F69" w:rsidRPr="003B7B60">
        <w:t>Jovene</w:t>
      </w:r>
      <w:proofErr w:type="spellEnd"/>
      <w:r w:rsidR="00801F69" w:rsidRPr="003B7B60">
        <w:t xml:space="preserve">, </w:t>
      </w:r>
      <w:r w:rsidR="0002047C" w:rsidRPr="003B7B60">
        <w:t xml:space="preserve">Napoli, 2014. </w:t>
      </w:r>
    </w:p>
    <w:p w:rsidR="000D0378" w:rsidRDefault="000837CD" w:rsidP="003108BF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I Limiti alla ricerca scientifica: “il caso Stamina”</w:t>
      </w:r>
      <w:r w:rsidRPr="003B7B60">
        <w:t xml:space="preserve">, in AA.VV., </w:t>
      </w:r>
      <w:r w:rsidRPr="003B7B60">
        <w:rPr>
          <w:i/>
        </w:rPr>
        <w:t>La ricerca scientifica fra possibilità e limiti</w:t>
      </w:r>
      <w:r w:rsidRPr="003B7B60">
        <w:t>, a cura di A. Iannuzzi, Editoriale Scientifica, Napoli, 2015.</w:t>
      </w:r>
    </w:p>
    <w:p w:rsidR="00660072" w:rsidRDefault="00660072" w:rsidP="003108BF">
      <w:pPr>
        <w:numPr>
          <w:ilvl w:val="0"/>
          <w:numId w:val="7"/>
        </w:numPr>
        <w:ind w:left="567" w:firstLine="0"/>
        <w:jc w:val="both"/>
      </w:pPr>
      <w:r>
        <w:t xml:space="preserve">Articolo da titolo </w:t>
      </w:r>
      <w:r w:rsidRPr="00660072">
        <w:rPr>
          <w:i/>
        </w:rPr>
        <w:t>Ordinamento civile</w:t>
      </w:r>
      <w:r>
        <w:t xml:space="preserve">, </w:t>
      </w:r>
      <w:r w:rsidR="00B6610D">
        <w:t xml:space="preserve">in AA.VV., </w:t>
      </w:r>
      <w:r w:rsidR="00B6610D" w:rsidRPr="00660072">
        <w:rPr>
          <w:i/>
        </w:rPr>
        <w:t>Le materie dell’art. 117 nella giurisprudenza costituzionale dopo il 2001</w:t>
      </w:r>
      <w:r w:rsidR="00B6610D">
        <w:t xml:space="preserve">, a cura di Raffaele </w:t>
      </w:r>
      <w:proofErr w:type="spellStart"/>
      <w:r w:rsidR="00B6610D">
        <w:t>Bifulco</w:t>
      </w:r>
      <w:proofErr w:type="spellEnd"/>
      <w:r w:rsidR="00B6610D">
        <w:t xml:space="preserve"> - Alfonso </w:t>
      </w:r>
      <w:proofErr w:type="spellStart"/>
      <w:r w:rsidR="00B6610D">
        <w:t>Celotto</w:t>
      </w:r>
      <w:proofErr w:type="spellEnd"/>
      <w:r w:rsidR="00B6610D">
        <w:t xml:space="preserve">, </w:t>
      </w:r>
      <w:r w:rsidR="001D0DF4">
        <w:t xml:space="preserve">Es, </w:t>
      </w:r>
      <w:r w:rsidR="00B6610D">
        <w:t xml:space="preserve">Napoli, </w:t>
      </w:r>
      <w:r>
        <w:t>2015.</w:t>
      </w:r>
      <w:r w:rsidR="00B6610D">
        <w:t xml:space="preserve"> </w:t>
      </w:r>
    </w:p>
    <w:p w:rsidR="004A4678" w:rsidRDefault="004A4678" w:rsidP="003108BF">
      <w:pPr>
        <w:numPr>
          <w:ilvl w:val="0"/>
          <w:numId w:val="7"/>
        </w:numPr>
        <w:ind w:left="567" w:firstLine="0"/>
        <w:jc w:val="both"/>
      </w:pPr>
      <w:r>
        <w:t xml:space="preserve">Saggio dal titolo Considerazioni critiche sul ruolo del Consiglio di Stato nella più recente attività di semplificazione normativa, in </w:t>
      </w:r>
      <w:hyperlink r:id="rId11" w:history="1">
        <w:r w:rsidRPr="00F366E5">
          <w:rPr>
            <w:rStyle w:val="Collegamentoipertestuale"/>
          </w:rPr>
          <w:t>www.federalismi.it</w:t>
        </w:r>
      </w:hyperlink>
      <w:r>
        <w:t xml:space="preserve">, (focus fonti), n.3/2015. </w:t>
      </w:r>
    </w:p>
    <w:p w:rsidR="004A4678" w:rsidRDefault="00660072" w:rsidP="003108BF">
      <w:pPr>
        <w:numPr>
          <w:ilvl w:val="0"/>
          <w:numId w:val="7"/>
        </w:numPr>
        <w:ind w:left="567" w:firstLine="0"/>
        <w:jc w:val="both"/>
      </w:pPr>
      <w:r>
        <w:t>Articolo dal titolo</w:t>
      </w:r>
      <w:r w:rsidR="003772C8">
        <w:t xml:space="preserve"> </w:t>
      </w:r>
      <w:r w:rsidR="003772C8" w:rsidRPr="003772C8">
        <w:rPr>
          <w:i/>
        </w:rPr>
        <w:t>Pertini e l’idea di Patria</w:t>
      </w:r>
      <w:r w:rsidR="003772C8">
        <w:t>,</w:t>
      </w:r>
      <w:r>
        <w:t xml:space="preserve"> in </w:t>
      </w:r>
      <w:proofErr w:type="gramStart"/>
      <w:r>
        <w:t>AA.VV.</w:t>
      </w:r>
      <w:r w:rsidR="003772C8" w:rsidRPr="003772C8">
        <w:rPr>
          <w:i/>
        </w:rPr>
        <w:t>,Il</w:t>
      </w:r>
      <w:proofErr w:type="gramEnd"/>
      <w:r w:rsidR="003772C8" w:rsidRPr="003772C8">
        <w:rPr>
          <w:i/>
        </w:rPr>
        <w:t xml:space="preserve"> viaggio. Sandro Pertini fra i giovani e il popolo. Ricordi incontri testimonianze per l’Italia di oggi</w:t>
      </w:r>
      <w:r w:rsidR="003772C8">
        <w:t xml:space="preserve">, </w:t>
      </w:r>
      <w:r w:rsidR="001816B1">
        <w:t xml:space="preserve">a cura di E. </w:t>
      </w:r>
      <w:proofErr w:type="spellStart"/>
      <w:r w:rsidR="001816B1">
        <w:t>Cuccodoro</w:t>
      </w:r>
      <w:proofErr w:type="spellEnd"/>
      <w:r w:rsidR="001816B1">
        <w:t xml:space="preserve">, </w:t>
      </w:r>
      <w:r w:rsidR="003772C8">
        <w:t>Lecce, 2015.</w:t>
      </w:r>
    </w:p>
    <w:p w:rsidR="004A4678" w:rsidRDefault="004A4678" w:rsidP="004A4678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</w:t>
      </w:r>
      <w:r>
        <w:t xml:space="preserve">dal titolo </w:t>
      </w:r>
      <w:r w:rsidRPr="003B7B60">
        <w:rPr>
          <w:i/>
        </w:rPr>
        <w:t>La giurisprudenza amministrativa</w:t>
      </w:r>
      <w:r w:rsidRPr="003B7B60">
        <w:t xml:space="preserve">, in </w:t>
      </w:r>
      <w:r w:rsidRPr="003B7B60">
        <w:rPr>
          <w:i/>
        </w:rPr>
        <w:t>Rapporto sulle Regioni in Italia 201</w:t>
      </w:r>
      <w:r>
        <w:rPr>
          <w:i/>
        </w:rPr>
        <w:t>5</w:t>
      </w:r>
      <w:r>
        <w:t>, a cura di Stelio Mangiameli e Giulia Maria Napolitano,</w:t>
      </w:r>
      <w:r w:rsidRPr="003B7B60">
        <w:t xml:space="preserve"> Gruppo24Ore, Milano</w:t>
      </w:r>
      <w:r>
        <w:t>, 2016</w:t>
      </w:r>
      <w:r w:rsidRPr="003B7B60">
        <w:t>.</w:t>
      </w:r>
    </w:p>
    <w:p w:rsidR="00553490" w:rsidRDefault="00553490" w:rsidP="004A4678">
      <w:pPr>
        <w:numPr>
          <w:ilvl w:val="0"/>
          <w:numId w:val="7"/>
        </w:numPr>
        <w:ind w:left="567" w:firstLine="0"/>
        <w:jc w:val="both"/>
      </w:pPr>
      <w:r>
        <w:t xml:space="preserve">Saggio dal titolo </w:t>
      </w:r>
      <w:r w:rsidRPr="00553490">
        <w:rPr>
          <w:i/>
        </w:rPr>
        <w:t xml:space="preserve">Dis-eguaglianza e promozione sociale: bisogno e merito </w:t>
      </w:r>
      <w:proofErr w:type="gramStart"/>
      <w:r w:rsidRPr="00553490">
        <w:rPr>
          <w:i/>
        </w:rPr>
        <w:t>( diverse</w:t>
      </w:r>
      <w:proofErr w:type="gramEnd"/>
      <w:r w:rsidRPr="00553490">
        <w:rPr>
          <w:i/>
        </w:rPr>
        <w:t xml:space="preserve"> letture del principio di eguaglianza nel sistema costituzionale</w:t>
      </w:r>
      <w:r>
        <w:t xml:space="preserve">, in AA.VV., La </w:t>
      </w:r>
      <w:r w:rsidRPr="00553490">
        <w:rPr>
          <w:i/>
        </w:rPr>
        <w:t>dis-eguaglianza nello Stato costituzionale</w:t>
      </w:r>
      <w:r>
        <w:t xml:space="preserve">, atti del convegno del Gruppo di Pisa tenutosi a Campobasso 19-20 giugno 2015, </w:t>
      </w:r>
      <w:r w:rsidR="001D0DF4">
        <w:t xml:space="preserve">Es, </w:t>
      </w:r>
      <w:r>
        <w:t>Napoli, 2016.</w:t>
      </w:r>
    </w:p>
    <w:p w:rsidR="00B71ECD" w:rsidRDefault="00B71ECD" w:rsidP="004A4678">
      <w:pPr>
        <w:numPr>
          <w:ilvl w:val="0"/>
          <w:numId w:val="7"/>
        </w:numPr>
        <w:ind w:left="567" w:firstLine="0"/>
        <w:jc w:val="both"/>
      </w:pPr>
      <w:r>
        <w:t>Saggio dal titolo L’art</w:t>
      </w:r>
      <w:r w:rsidRPr="00B71ECD">
        <w:rPr>
          <w:i/>
        </w:rPr>
        <w:t xml:space="preserve">. 138 Cost. tra modifiche tacite e deroghe </w:t>
      </w:r>
      <w:r w:rsidRPr="00B71ECD">
        <w:t>una tantum</w:t>
      </w:r>
      <w:r>
        <w:t>, in Liber amico rum in onore di Stefano</w:t>
      </w:r>
      <w:r w:rsidR="00181B11">
        <w:t xml:space="preserve"> Maria Cicconetti, Napoli, 2016 edito con aggiornamenti ed integrazioni in </w:t>
      </w:r>
      <w:proofErr w:type="spellStart"/>
      <w:r w:rsidR="00181B11" w:rsidRPr="00181B11">
        <w:rPr>
          <w:i/>
        </w:rPr>
        <w:t>Rass</w:t>
      </w:r>
      <w:proofErr w:type="spellEnd"/>
      <w:r w:rsidR="00181B11" w:rsidRPr="00181B11">
        <w:rPr>
          <w:i/>
        </w:rPr>
        <w:t xml:space="preserve">. </w:t>
      </w:r>
      <w:proofErr w:type="spellStart"/>
      <w:r w:rsidR="00181B11" w:rsidRPr="00181B11">
        <w:rPr>
          <w:i/>
        </w:rPr>
        <w:t>Parl</w:t>
      </w:r>
      <w:proofErr w:type="spellEnd"/>
      <w:r w:rsidR="00181B11" w:rsidRPr="00181B11">
        <w:rPr>
          <w:i/>
        </w:rPr>
        <w:t>.</w:t>
      </w:r>
      <w:r w:rsidR="00181B11">
        <w:t xml:space="preserve"> n. 3/2017.</w:t>
      </w:r>
    </w:p>
    <w:p w:rsidR="00883F7B" w:rsidRDefault="00553490" w:rsidP="00E458C2">
      <w:pPr>
        <w:numPr>
          <w:ilvl w:val="0"/>
          <w:numId w:val="7"/>
        </w:numPr>
        <w:ind w:left="567" w:firstLine="0"/>
        <w:jc w:val="both"/>
      </w:pPr>
      <w:r w:rsidRPr="00553490">
        <w:t>Saggio dal titolo</w:t>
      </w:r>
      <w:r>
        <w:rPr>
          <w:i/>
        </w:rPr>
        <w:t xml:space="preserve"> </w:t>
      </w:r>
      <w:r w:rsidRPr="00553490">
        <w:rPr>
          <w:i/>
        </w:rPr>
        <w:t>Il referendum costituzionale tra processi di legittimazione politica e sistema delle fonti</w:t>
      </w:r>
      <w:r w:rsidR="00C375D0">
        <w:t xml:space="preserve"> in focus fonti n. 2 /</w:t>
      </w:r>
      <w:proofErr w:type="gramStart"/>
      <w:r w:rsidR="00C375D0">
        <w:t>201</w:t>
      </w:r>
      <w:r>
        <w:t>6  in</w:t>
      </w:r>
      <w:proofErr w:type="gramEnd"/>
      <w:r>
        <w:t xml:space="preserve"> </w:t>
      </w:r>
      <w:hyperlink r:id="rId12" w:history="1">
        <w:r w:rsidR="00E458C2" w:rsidRPr="006A4089">
          <w:rPr>
            <w:rStyle w:val="Collegamentoipertestuale"/>
          </w:rPr>
          <w:t>www.federalismi.it</w:t>
        </w:r>
      </w:hyperlink>
    </w:p>
    <w:p w:rsidR="00181B11" w:rsidRDefault="00181B11" w:rsidP="00E458C2">
      <w:pPr>
        <w:numPr>
          <w:ilvl w:val="0"/>
          <w:numId w:val="7"/>
        </w:numPr>
        <w:ind w:left="567" w:firstLine="0"/>
        <w:jc w:val="both"/>
      </w:pPr>
      <w:r>
        <w:t xml:space="preserve">Articolo dal titolo </w:t>
      </w:r>
      <w:r w:rsidRPr="00181B11">
        <w:rPr>
          <w:i/>
        </w:rPr>
        <w:t xml:space="preserve">Referendum costituzionale ed omogeneità </w:t>
      </w:r>
      <w:r>
        <w:rPr>
          <w:i/>
        </w:rPr>
        <w:t>secondo il Tribu</w:t>
      </w:r>
      <w:r w:rsidRPr="00181B11">
        <w:rPr>
          <w:i/>
        </w:rPr>
        <w:t>nale di Milano. Note a m</w:t>
      </w:r>
      <w:r>
        <w:rPr>
          <w:i/>
        </w:rPr>
        <w:t>a</w:t>
      </w:r>
      <w:r w:rsidRPr="00181B11">
        <w:rPr>
          <w:i/>
        </w:rPr>
        <w:t>rgine dell’ordinanza Tribunale di Milano, 6 novembre 2016</w:t>
      </w:r>
      <w:r>
        <w:rPr>
          <w:i/>
        </w:rPr>
        <w:t xml:space="preserve"> </w:t>
      </w:r>
      <w:r w:rsidRPr="00181B11">
        <w:t>edito</w:t>
      </w:r>
      <w:r>
        <w:t xml:space="preserve"> nel volume collettaneo </w:t>
      </w:r>
      <w:proofErr w:type="gramStart"/>
      <w:r>
        <w:t>AA.VV.,</w:t>
      </w:r>
      <w:r w:rsidRPr="00181B11">
        <w:rPr>
          <w:i/>
        </w:rPr>
        <w:t>Percorsi</w:t>
      </w:r>
      <w:proofErr w:type="gramEnd"/>
      <w:r w:rsidRPr="00181B11">
        <w:rPr>
          <w:i/>
        </w:rPr>
        <w:t xml:space="preserve"> in tema di fonti del diritto</w:t>
      </w:r>
      <w:r>
        <w:t xml:space="preserve">, a cura di G. D’Alessandro e S. </w:t>
      </w:r>
      <w:proofErr w:type="spellStart"/>
      <w:r>
        <w:t>Zorzetto</w:t>
      </w:r>
      <w:proofErr w:type="spellEnd"/>
      <w:r>
        <w:t>, Torino, 2017.</w:t>
      </w:r>
    </w:p>
    <w:p w:rsidR="00181B11" w:rsidRDefault="00181B11" w:rsidP="00E458C2">
      <w:pPr>
        <w:numPr>
          <w:ilvl w:val="0"/>
          <w:numId w:val="7"/>
        </w:numPr>
        <w:ind w:left="567" w:firstLine="0"/>
        <w:jc w:val="both"/>
      </w:pPr>
      <w:r>
        <w:lastRenderedPageBreak/>
        <w:t xml:space="preserve">Saggio dal titolo </w:t>
      </w:r>
      <w:r w:rsidRPr="00181B11">
        <w:rPr>
          <w:i/>
        </w:rPr>
        <w:t>Eguaglianza e promozione sociale nello Stato costituzionale tra bisogni e meriti</w:t>
      </w:r>
      <w:r>
        <w:t xml:space="preserve">, edito in AA.VV., </w:t>
      </w:r>
      <w:r w:rsidRPr="00181B11">
        <w:rPr>
          <w:i/>
        </w:rPr>
        <w:t>Teoria e pratica dell’eguaglianza. Percorsi di analisi critica</w:t>
      </w:r>
      <w:r>
        <w:t xml:space="preserve">, a cura di F. </w:t>
      </w:r>
      <w:proofErr w:type="spellStart"/>
      <w:r>
        <w:t>Mastromartino</w:t>
      </w:r>
      <w:proofErr w:type="spellEnd"/>
      <w:r>
        <w:t>, Roma, 2018.</w:t>
      </w:r>
    </w:p>
    <w:p w:rsidR="00181B11" w:rsidRDefault="00181B11" w:rsidP="00181B11">
      <w:pPr>
        <w:numPr>
          <w:ilvl w:val="0"/>
          <w:numId w:val="7"/>
        </w:numPr>
        <w:ind w:left="567" w:firstLine="0"/>
        <w:jc w:val="both"/>
      </w:pPr>
      <w:r w:rsidRPr="003B7B60">
        <w:t xml:space="preserve">Saggio dal titolo </w:t>
      </w:r>
      <w:r w:rsidRPr="003B7B60">
        <w:rPr>
          <w:i/>
        </w:rPr>
        <w:t>La condizione giuridica dello straniero tra ordinamento costituzionale, internazionale e comunitario nella prospettiva delle fonti del diritto</w:t>
      </w:r>
      <w:r w:rsidRPr="003B7B60">
        <w:t xml:space="preserve">, in AA.VV., </w:t>
      </w:r>
      <w:r>
        <w:rPr>
          <w:i/>
        </w:rPr>
        <w:t>Stranieri e diritto</w:t>
      </w:r>
      <w:r>
        <w:t>, a cura di C. De Robbio</w:t>
      </w:r>
      <w:r w:rsidRPr="003B7B60">
        <w:t>,</w:t>
      </w:r>
      <w:r>
        <w:t xml:space="preserve"> Pacini Giuridica, Pisa 2018</w:t>
      </w:r>
      <w:r w:rsidRPr="003B7B60">
        <w:t>.</w:t>
      </w:r>
    </w:p>
    <w:p w:rsidR="00E774CF" w:rsidRDefault="00E774CF" w:rsidP="00181B11">
      <w:pPr>
        <w:numPr>
          <w:ilvl w:val="0"/>
          <w:numId w:val="7"/>
        </w:numPr>
        <w:ind w:left="567" w:firstLine="0"/>
        <w:jc w:val="both"/>
      </w:pPr>
      <w:r>
        <w:t xml:space="preserve">Saggio dal titolo </w:t>
      </w:r>
      <w:proofErr w:type="gramStart"/>
      <w:r>
        <w:t>“ Torniamo</w:t>
      </w:r>
      <w:proofErr w:type="gramEnd"/>
      <w:r>
        <w:t xml:space="preserve"> a Beccaria!” edito in </w:t>
      </w:r>
      <w:r w:rsidRPr="00E774CF">
        <w:rPr>
          <w:i/>
        </w:rPr>
        <w:t xml:space="preserve">Giur. </w:t>
      </w:r>
      <w:r>
        <w:rPr>
          <w:i/>
        </w:rPr>
        <w:t>c</w:t>
      </w:r>
      <w:r w:rsidRPr="00E774CF">
        <w:rPr>
          <w:i/>
        </w:rPr>
        <w:t>ost</w:t>
      </w:r>
      <w:r>
        <w:t xml:space="preserve">. </w:t>
      </w:r>
      <w:r w:rsidR="00AD2126">
        <w:t xml:space="preserve">n. </w:t>
      </w:r>
      <w:r>
        <w:t>6/2018.</w:t>
      </w:r>
    </w:p>
    <w:p w:rsidR="00E774CF" w:rsidRDefault="00E774CF" w:rsidP="00F50908">
      <w:pPr>
        <w:numPr>
          <w:ilvl w:val="0"/>
          <w:numId w:val="7"/>
        </w:numPr>
        <w:ind w:left="567" w:firstLine="0"/>
        <w:jc w:val="both"/>
      </w:pPr>
      <w:r>
        <w:t xml:space="preserve">Articolo dal titolo </w:t>
      </w:r>
      <w:r w:rsidRPr="00F50908">
        <w:rPr>
          <w:i/>
        </w:rPr>
        <w:t xml:space="preserve">Dignità umana e autodeterminazione terapeutica nelle scelte di fine-vita. Brevi considerazioni a margine dell’ordinanza n. 207 del </w:t>
      </w:r>
      <w:proofErr w:type="gramStart"/>
      <w:r w:rsidRPr="00F50908">
        <w:rPr>
          <w:i/>
        </w:rPr>
        <w:t>2018</w:t>
      </w:r>
      <w:r>
        <w:t>,  edito</w:t>
      </w:r>
      <w:proofErr w:type="gramEnd"/>
      <w:r>
        <w:t xml:space="preserve"> nel volume collettaneo, </w:t>
      </w:r>
      <w:r w:rsidRPr="00F50908">
        <w:rPr>
          <w:i/>
        </w:rPr>
        <w:t>Il caso Cappato. Riflessioni a margine dell’ordinanza della Corte costituzionale n. 207 del 2018,</w:t>
      </w:r>
      <w:r>
        <w:t xml:space="preserve"> a cura di F.S. Marini – C. Cupelli, Napoli, 2019.</w:t>
      </w:r>
    </w:p>
    <w:p w:rsidR="000E01B3" w:rsidRPr="003B7B60" w:rsidRDefault="000E01B3" w:rsidP="000E01B3">
      <w:pPr>
        <w:numPr>
          <w:ilvl w:val="0"/>
          <w:numId w:val="7"/>
        </w:numPr>
        <w:ind w:left="567" w:firstLine="0"/>
        <w:jc w:val="both"/>
      </w:pPr>
      <w:r w:rsidRPr="003B7B60">
        <w:t xml:space="preserve">Articolo </w:t>
      </w:r>
      <w:r w:rsidRPr="003B7B60">
        <w:rPr>
          <w:i/>
        </w:rPr>
        <w:t>La giurisprudenza amministrativa</w:t>
      </w:r>
      <w:r w:rsidRPr="003B7B60">
        <w:t xml:space="preserve">, in </w:t>
      </w:r>
      <w:r w:rsidRPr="003B7B60">
        <w:rPr>
          <w:i/>
        </w:rPr>
        <w:t>Rapporto sulle Regioni in Italia 201</w:t>
      </w:r>
      <w:r>
        <w:rPr>
          <w:i/>
        </w:rPr>
        <w:t>7</w:t>
      </w:r>
      <w:r w:rsidRPr="003B7B60">
        <w:t>, a</w:t>
      </w:r>
      <w:r>
        <w:t xml:space="preserve"> cura di Stelio Mangiameli e Andrea Filippetti, Giappichelli, Torino, 2019</w:t>
      </w:r>
      <w:r w:rsidRPr="003B7B60">
        <w:t>.</w:t>
      </w:r>
    </w:p>
    <w:p w:rsidR="00181B11" w:rsidRPr="00181B11" w:rsidRDefault="00F10716" w:rsidP="00594A93">
      <w:pPr>
        <w:ind w:left="567"/>
        <w:jc w:val="both"/>
      </w:pPr>
      <w:r>
        <w:t>42.</w:t>
      </w:r>
      <w:r w:rsidR="00CF5770">
        <w:t xml:space="preserve"> Breve contributo</w:t>
      </w:r>
      <w:r>
        <w:t xml:space="preserve"> </w:t>
      </w:r>
      <w:r w:rsidR="00CF5770">
        <w:t xml:space="preserve">dal titolo </w:t>
      </w:r>
      <w:r w:rsidR="00CF5770" w:rsidRPr="00CF5770">
        <w:rPr>
          <w:i/>
        </w:rPr>
        <w:t>Roma Capitale e la gestione dell'emergenza alimentare durante la pandemia da Covid-19</w:t>
      </w:r>
      <w:r w:rsidR="00CF5770">
        <w:t xml:space="preserve">, in AA.VV., </w:t>
      </w:r>
      <w:r w:rsidR="00CF5770" w:rsidRPr="00CF5770">
        <w:rPr>
          <w:i/>
        </w:rPr>
        <w:t>A centocinquant'anni da Roma Capitale</w:t>
      </w:r>
      <w:r w:rsidR="00CF5770">
        <w:t xml:space="preserve">, a cura di B. Caravita, </w:t>
      </w:r>
      <w:proofErr w:type="spellStart"/>
      <w:r w:rsidR="00CF5770">
        <w:t>Rubbettino</w:t>
      </w:r>
      <w:proofErr w:type="spellEnd"/>
      <w:r w:rsidR="00CF5770">
        <w:t>, Soveria Mannelli, 2020.</w:t>
      </w:r>
    </w:p>
    <w:p w:rsidR="0014061B" w:rsidRDefault="000A4E7D" w:rsidP="003108BF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Voci di Enciclopedie,</w:t>
      </w:r>
      <w:r w:rsidR="0014061B" w:rsidRPr="0014061B">
        <w:rPr>
          <w:b/>
          <w:sz w:val="24"/>
          <w:szCs w:val="24"/>
        </w:rPr>
        <w:t xml:space="preserve"> dizionari</w:t>
      </w:r>
      <w:r>
        <w:rPr>
          <w:b/>
          <w:sz w:val="24"/>
          <w:szCs w:val="24"/>
        </w:rPr>
        <w:t xml:space="preserve"> e Commentari alla Costituzione</w:t>
      </w:r>
    </w:p>
    <w:p w:rsidR="000A4E7D" w:rsidRPr="000A4E7D" w:rsidRDefault="000A4E7D" w:rsidP="003108BF">
      <w:pPr>
        <w:numPr>
          <w:ilvl w:val="0"/>
          <w:numId w:val="9"/>
        </w:numPr>
        <w:spacing w:after="0" w:line="360" w:lineRule="auto"/>
        <w:ind w:left="567" w:firstLine="0"/>
        <w:jc w:val="both"/>
      </w:pPr>
      <w:r>
        <w:t xml:space="preserve">Commento all’art. 33 Cost. in </w:t>
      </w:r>
      <w:proofErr w:type="spellStart"/>
      <w:r>
        <w:t>Av.Vv</w:t>
      </w:r>
      <w:proofErr w:type="spellEnd"/>
      <w:r>
        <w:t xml:space="preserve">. </w:t>
      </w:r>
      <w:r>
        <w:rPr>
          <w:i/>
        </w:rPr>
        <w:t>Commentario della Costituzione italiana,</w:t>
      </w:r>
      <w:r>
        <w:t xml:space="preserve"> a cura di R. </w:t>
      </w:r>
      <w:proofErr w:type="spellStart"/>
      <w:r>
        <w:t>Bifulco</w:t>
      </w:r>
      <w:proofErr w:type="spellEnd"/>
      <w:r>
        <w:t xml:space="preserve"> -</w:t>
      </w:r>
      <w:r w:rsidR="001A5F10">
        <w:t xml:space="preserve"> </w:t>
      </w:r>
      <w:r>
        <w:t xml:space="preserve">A. </w:t>
      </w:r>
      <w:proofErr w:type="spellStart"/>
      <w:r>
        <w:t>Celotto</w:t>
      </w:r>
      <w:proofErr w:type="spellEnd"/>
      <w:r>
        <w:t xml:space="preserve"> – M. Olivetti, Torino, 2006. </w:t>
      </w:r>
    </w:p>
    <w:p w:rsidR="00883F7B" w:rsidRDefault="00B43499" w:rsidP="003108BF">
      <w:pPr>
        <w:numPr>
          <w:ilvl w:val="0"/>
          <w:numId w:val="9"/>
        </w:numPr>
        <w:spacing w:after="0" w:line="360" w:lineRule="auto"/>
        <w:ind w:left="567" w:firstLine="0"/>
        <w:jc w:val="both"/>
      </w:pPr>
      <w:r>
        <w:t>Voce «</w:t>
      </w:r>
      <w:r w:rsidR="00883F7B">
        <w:t>Giudizi di ammissibi</w:t>
      </w:r>
      <w:r>
        <w:t>lità del referendum abrogativo»</w:t>
      </w:r>
      <w:r w:rsidR="00883F7B">
        <w:t xml:space="preserve"> in </w:t>
      </w:r>
      <w:r w:rsidR="00883F7B">
        <w:rPr>
          <w:i/>
        </w:rPr>
        <w:t>Dizionari Sistematici. Diritto Costituzionale</w:t>
      </w:r>
      <w:r w:rsidR="00883F7B">
        <w:t>, a cura di Stelio Mangiameli, Milano. 2008.</w:t>
      </w:r>
      <w:r w:rsidR="006034A6">
        <w:t xml:space="preserve"> </w:t>
      </w:r>
    </w:p>
    <w:p w:rsidR="0014061B" w:rsidRDefault="00594A93" w:rsidP="003108BF">
      <w:pPr>
        <w:numPr>
          <w:ilvl w:val="0"/>
          <w:numId w:val="9"/>
        </w:numPr>
        <w:spacing w:after="0" w:line="360" w:lineRule="auto"/>
        <w:ind w:left="567" w:firstLine="0"/>
        <w:jc w:val="both"/>
      </w:pPr>
      <w:r>
        <w:t xml:space="preserve">Voce </w:t>
      </w:r>
      <w:r>
        <w:rPr>
          <w:rFonts w:cs="Calibri"/>
        </w:rPr>
        <w:t>«</w:t>
      </w:r>
      <w:r w:rsidR="0014061B">
        <w:t>Roma</w:t>
      </w:r>
      <w:r>
        <w:t xml:space="preserve"> Capitale</w:t>
      </w:r>
      <w:r>
        <w:rPr>
          <w:rFonts w:cs="Calibri"/>
        </w:rPr>
        <w:t>»</w:t>
      </w:r>
      <w:r w:rsidR="0014061B">
        <w:t xml:space="preserve"> in </w:t>
      </w:r>
      <w:r w:rsidR="0014061B" w:rsidRPr="00691F1B">
        <w:rPr>
          <w:i/>
        </w:rPr>
        <w:t>Digesto Disc. Pubbl</w:t>
      </w:r>
      <w:r w:rsidR="0014061B">
        <w:t>., IV Aggiornamento, Torino, 2010</w:t>
      </w:r>
    </w:p>
    <w:p w:rsidR="0014061B" w:rsidRDefault="00594A93" w:rsidP="003108BF">
      <w:pPr>
        <w:numPr>
          <w:ilvl w:val="0"/>
          <w:numId w:val="9"/>
        </w:numPr>
        <w:spacing w:after="0" w:line="360" w:lineRule="auto"/>
        <w:ind w:left="567" w:firstLine="0"/>
        <w:jc w:val="both"/>
      </w:pPr>
      <w:r>
        <w:t xml:space="preserve">Voce </w:t>
      </w:r>
      <w:r>
        <w:rPr>
          <w:rFonts w:cs="Calibri"/>
        </w:rPr>
        <w:t>«</w:t>
      </w:r>
      <w:r w:rsidR="00167CF2">
        <w:t xml:space="preserve">Parlamento. </w:t>
      </w:r>
      <w:r w:rsidR="0014061B">
        <w:t>Contributo ad un dizi</w:t>
      </w:r>
      <w:r w:rsidR="003108BF">
        <w:t>onario di storia costituzionale</w:t>
      </w:r>
      <w:r>
        <w:rPr>
          <w:rFonts w:cs="Calibri"/>
        </w:rPr>
        <w:t>»</w:t>
      </w:r>
      <w:r w:rsidR="0014061B">
        <w:t xml:space="preserve"> in </w:t>
      </w:r>
      <w:proofErr w:type="spellStart"/>
      <w:r w:rsidR="0014061B">
        <w:t>Diritto@storia</w:t>
      </w:r>
      <w:proofErr w:type="spellEnd"/>
      <w:r w:rsidR="0014061B">
        <w:t>, n. 9 – 2010.</w:t>
      </w:r>
    </w:p>
    <w:p w:rsidR="00AE5C3D" w:rsidRDefault="00AE5C3D" w:rsidP="003108BF">
      <w:pPr>
        <w:numPr>
          <w:ilvl w:val="0"/>
          <w:numId w:val="9"/>
        </w:numPr>
        <w:spacing w:after="0" w:line="360" w:lineRule="auto"/>
        <w:ind w:left="567" w:firstLine="0"/>
        <w:jc w:val="both"/>
      </w:pPr>
      <w:r>
        <w:t xml:space="preserve">Commento all’ “Art. 120 Cost.” in AA.VV., </w:t>
      </w:r>
      <w:r w:rsidRPr="00AE5C3D">
        <w:rPr>
          <w:i/>
        </w:rPr>
        <w:t>La Costituzione italiana. Commento articolo per articolo</w:t>
      </w:r>
      <w:r>
        <w:t xml:space="preserve">, Vol. II, a cura di F. Clementi – L. </w:t>
      </w:r>
      <w:proofErr w:type="spellStart"/>
      <w:r>
        <w:t>Cuocolo</w:t>
      </w:r>
      <w:proofErr w:type="spellEnd"/>
      <w:r>
        <w:t xml:space="preserve"> – F. Rosa – G. E. Vigevani, Il Mulino, Bologna, 2018.</w:t>
      </w:r>
    </w:p>
    <w:p w:rsidR="0031600B" w:rsidRDefault="0031600B" w:rsidP="003108BF">
      <w:pPr>
        <w:pStyle w:val="Risultato"/>
        <w:ind w:left="567"/>
        <w:jc w:val="both"/>
        <w:rPr>
          <w:b/>
        </w:rPr>
      </w:pPr>
    </w:p>
    <w:p w:rsidR="0014061B" w:rsidRDefault="0014061B" w:rsidP="003108BF">
      <w:pPr>
        <w:pStyle w:val="Risultato"/>
        <w:ind w:left="567"/>
        <w:jc w:val="both"/>
      </w:pPr>
      <w:r>
        <w:rPr>
          <w:b/>
        </w:rPr>
        <w:t>Commenti ed annotazioni giurisprudenziali</w:t>
      </w:r>
    </w:p>
    <w:p w:rsidR="0014061B" w:rsidRDefault="0014061B" w:rsidP="003108BF">
      <w:pPr>
        <w:pStyle w:val="Risultato"/>
        <w:numPr>
          <w:ilvl w:val="1"/>
          <w:numId w:val="12"/>
        </w:numPr>
        <w:tabs>
          <w:tab w:val="left" w:pos="927"/>
        </w:tabs>
        <w:ind w:left="567" w:firstLine="0"/>
        <w:jc w:val="both"/>
      </w:pPr>
      <w:r>
        <w:t xml:space="preserve">Commento alla sent. n. 329/1997 della Corte costituzionale dal titolo: </w:t>
      </w:r>
      <w:r>
        <w:rPr>
          <w:i/>
        </w:rPr>
        <w:t>Il principio supremo di laicità nello Stato democratico-pluralista e la tutela penale del sentimento religioso</w:t>
      </w:r>
      <w:r>
        <w:t xml:space="preserve">, in </w:t>
      </w:r>
      <w:r>
        <w:rPr>
          <w:i/>
        </w:rPr>
        <w:t>Giur.it</w:t>
      </w:r>
      <w:r>
        <w:t>.,</w:t>
      </w:r>
      <w:r w:rsidR="001A5F10">
        <w:t xml:space="preserve"> </w:t>
      </w:r>
      <w:r>
        <w:t>6/1998;</w:t>
      </w:r>
    </w:p>
    <w:p w:rsidR="0014061B" w:rsidRDefault="0014061B" w:rsidP="003108BF">
      <w:pPr>
        <w:pStyle w:val="Risultato"/>
        <w:numPr>
          <w:ilvl w:val="1"/>
          <w:numId w:val="12"/>
        </w:numPr>
        <w:tabs>
          <w:tab w:val="left" w:pos="927"/>
        </w:tabs>
        <w:ind w:left="567" w:firstLine="0"/>
        <w:jc w:val="both"/>
      </w:pPr>
      <w:r>
        <w:t>Commento</w:t>
      </w:r>
      <w:r w:rsidR="001A5F10">
        <w:t xml:space="preserve"> </w:t>
      </w:r>
      <w:r>
        <w:t xml:space="preserve">alla sent. n. 1/1999 dal titolo: </w:t>
      </w:r>
      <w:r>
        <w:rPr>
          <w:i/>
        </w:rPr>
        <w:t>I concorsi pubblici tra</w:t>
      </w:r>
      <w:r w:rsidR="001A5F10">
        <w:rPr>
          <w:i/>
        </w:rPr>
        <w:t xml:space="preserve"> </w:t>
      </w:r>
      <w:r>
        <w:rPr>
          <w:i/>
        </w:rPr>
        <w:t>sindacato di costituzionalità e discrezionalità legislativa</w:t>
      </w:r>
      <w:r>
        <w:t>, in</w:t>
      </w:r>
      <w:r w:rsidR="001A5F10">
        <w:t xml:space="preserve"> </w:t>
      </w:r>
      <w:r>
        <w:rPr>
          <w:i/>
        </w:rPr>
        <w:t xml:space="preserve">Giur. </w:t>
      </w:r>
      <w:proofErr w:type="spellStart"/>
      <w:r>
        <w:rPr>
          <w:i/>
        </w:rPr>
        <w:t>it</w:t>
      </w:r>
      <w:proofErr w:type="spellEnd"/>
      <w:r>
        <w:rPr>
          <w:i/>
        </w:rPr>
        <w:t>.</w:t>
      </w:r>
      <w:r>
        <w:t>,</w:t>
      </w:r>
      <w:r w:rsidR="001A5F10">
        <w:t xml:space="preserve"> </w:t>
      </w:r>
      <w:r>
        <w:t>2 /2000;</w:t>
      </w:r>
    </w:p>
    <w:p w:rsidR="0014061B" w:rsidRDefault="0014061B" w:rsidP="003108BF">
      <w:pPr>
        <w:pStyle w:val="Risultato"/>
        <w:numPr>
          <w:ilvl w:val="1"/>
          <w:numId w:val="12"/>
        </w:numPr>
        <w:tabs>
          <w:tab w:val="left" w:pos="927"/>
        </w:tabs>
        <w:ind w:left="567" w:firstLine="0"/>
        <w:jc w:val="both"/>
        <w:rPr>
          <w:i/>
        </w:rPr>
      </w:pPr>
      <w:r>
        <w:t>Nota</w:t>
      </w:r>
      <w:r w:rsidR="001A5F10">
        <w:t xml:space="preserve"> </w:t>
      </w:r>
      <w:r>
        <w:t>all’</w:t>
      </w:r>
      <w:proofErr w:type="spellStart"/>
      <w:r>
        <w:t>ord</w:t>
      </w:r>
      <w:proofErr w:type="spellEnd"/>
      <w:r>
        <w:t>. della Corte costituzionale</w:t>
      </w:r>
      <w:r w:rsidR="001A5F10">
        <w:t xml:space="preserve"> </w:t>
      </w:r>
      <w:r>
        <w:t>n° 29/2001 dal titolo:</w:t>
      </w:r>
      <w:r w:rsidR="001A5F10">
        <w:t xml:space="preserve"> </w:t>
      </w:r>
      <w:r>
        <w:rPr>
          <w:i/>
        </w:rPr>
        <w:t>Tentativo obbligatorio di conciliazione e procedimento monitorio nella interpretazione “</w:t>
      </w:r>
      <w:proofErr w:type="spellStart"/>
      <w:r>
        <w:rPr>
          <w:i/>
        </w:rPr>
        <w:t>adeguatrice</w:t>
      </w:r>
      <w:proofErr w:type="spellEnd"/>
      <w:r>
        <w:rPr>
          <w:i/>
        </w:rPr>
        <w:t>” della Corte costituzionale pubblicata,</w:t>
      </w:r>
      <w:r w:rsidR="001A5F10">
        <w:rPr>
          <w:i/>
        </w:rPr>
        <w:t xml:space="preserve"> </w:t>
      </w:r>
      <w:r>
        <w:t xml:space="preserve">in </w:t>
      </w:r>
      <w:r>
        <w:rPr>
          <w:i/>
        </w:rPr>
        <w:t xml:space="preserve">Giur. </w:t>
      </w:r>
      <w:proofErr w:type="spellStart"/>
      <w:r>
        <w:rPr>
          <w:i/>
        </w:rPr>
        <w:t>it</w:t>
      </w:r>
      <w:proofErr w:type="spellEnd"/>
      <w:r>
        <w:rPr>
          <w:i/>
        </w:rPr>
        <w:t>.,</w:t>
      </w:r>
      <w:r w:rsidR="006034A6">
        <w:t xml:space="preserve"> </w:t>
      </w:r>
      <w:r>
        <w:t>6/2001.</w:t>
      </w:r>
    </w:p>
    <w:p w:rsidR="0014061B" w:rsidRDefault="0014061B" w:rsidP="003108BF">
      <w:pPr>
        <w:pStyle w:val="Risultato"/>
        <w:numPr>
          <w:ilvl w:val="1"/>
          <w:numId w:val="12"/>
        </w:numPr>
        <w:tabs>
          <w:tab w:val="left" w:pos="927"/>
        </w:tabs>
        <w:ind w:left="567" w:firstLine="0"/>
        <w:jc w:val="both"/>
      </w:pPr>
      <w:r>
        <w:t>Commento alla sent. Cass. civ., I sez., 13 settembre 2000, n. 12067 dal titolo:</w:t>
      </w:r>
      <w:r>
        <w:rPr>
          <w:i/>
        </w:rPr>
        <w:t xml:space="preserve"> Brevi note su potestà legislativa regionale e disciplina dei rapporti di diritto privato a margine di una sentenza della Cassazione</w:t>
      </w:r>
      <w:r>
        <w:t xml:space="preserve">, in </w:t>
      </w:r>
      <w:r>
        <w:rPr>
          <w:i/>
        </w:rPr>
        <w:t>Giur. It</w:t>
      </w:r>
      <w:r>
        <w:t>., 1/2002.</w:t>
      </w:r>
      <w:r w:rsidR="006034A6">
        <w:t xml:space="preserve"> 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>Commento alla sentenza</w:t>
      </w:r>
      <w:r w:rsidR="001A5F10">
        <w:t xml:space="preserve"> </w:t>
      </w:r>
      <w:r>
        <w:t xml:space="preserve">31 luglio 2001 della Corte europea dei diritti dell’uomo (resa a proposito dello scioglimento del </w:t>
      </w:r>
      <w:proofErr w:type="spellStart"/>
      <w:r>
        <w:rPr>
          <w:i/>
          <w:iCs/>
        </w:rPr>
        <w:t>Refah</w:t>
      </w:r>
      <w:proofErr w:type="spellEnd"/>
      <w:r>
        <w:rPr>
          <w:i/>
          <w:iCs/>
        </w:rPr>
        <w:t xml:space="preserve"> partisi</w:t>
      </w:r>
      <w:r>
        <w:t xml:space="preserve">), dal titolo: </w:t>
      </w:r>
      <w:r>
        <w:rPr>
          <w:i/>
        </w:rPr>
        <w:t xml:space="preserve">La tutela costituzionale della società </w:t>
      </w:r>
      <w:r>
        <w:rPr>
          <w:i/>
          <w:iCs/>
        </w:rPr>
        <w:lastRenderedPageBreak/>
        <w:t>democratica</w:t>
      </w:r>
      <w:r>
        <w:rPr>
          <w:i/>
        </w:rPr>
        <w:t xml:space="preserve"> tra pluralismo, principio di laicità e garanzia dei diritti </w:t>
      </w:r>
      <w:proofErr w:type="gramStart"/>
      <w:r>
        <w:rPr>
          <w:i/>
        </w:rPr>
        <w:t>fondamentali</w:t>
      </w:r>
      <w:r>
        <w:t>.(</w:t>
      </w:r>
      <w:proofErr w:type="gramEnd"/>
      <w:r>
        <w:t xml:space="preserve">La corte europea dei diritti dell’uomo e lo scioglimento del </w:t>
      </w:r>
      <w:proofErr w:type="spellStart"/>
      <w:r>
        <w:rPr>
          <w:i/>
          <w:iCs/>
        </w:rPr>
        <w:t>Refah</w:t>
      </w:r>
      <w:proofErr w:type="spellEnd"/>
      <w:r>
        <w:rPr>
          <w:i/>
          <w:iCs/>
        </w:rPr>
        <w:t xml:space="preserve"> Partisi</w:t>
      </w:r>
      <w:r w:rsidR="00217660">
        <w:t>), in</w:t>
      </w:r>
      <w:r>
        <w:t xml:space="preserve"> </w:t>
      </w:r>
      <w:r>
        <w:rPr>
          <w:i/>
          <w:iCs/>
        </w:rPr>
        <w:t>Giur. Cost</w:t>
      </w:r>
      <w:r>
        <w:t>., n.1-2002.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>Commento</w:t>
      </w:r>
      <w:r w:rsidR="001A5F10">
        <w:t xml:space="preserve"> </w:t>
      </w:r>
      <w:r>
        <w:t xml:space="preserve">alla sentenza n. 43 del 2004 della Corte costituzionale italiana dal </w:t>
      </w:r>
      <w:r>
        <w:rPr>
          <w:i/>
        </w:rPr>
        <w:t>titolo</w:t>
      </w:r>
      <w:r w:rsidR="001A5F10">
        <w:rPr>
          <w:i/>
        </w:rPr>
        <w:t xml:space="preserve"> </w:t>
      </w:r>
      <w:r>
        <w:rPr>
          <w:i/>
        </w:rPr>
        <w:t>I poteri sostitutivi regionali tra inevitabili forzature ed evitabili incoerenze</w:t>
      </w:r>
      <w:r>
        <w:t>,</w:t>
      </w:r>
      <w:r w:rsidR="001A5F10">
        <w:t xml:space="preserve"> </w:t>
      </w:r>
      <w:r>
        <w:t xml:space="preserve">in </w:t>
      </w:r>
      <w:r>
        <w:rPr>
          <w:i/>
        </w:rPr>
        <w:t>Giur cost</w:t>
      </w:r>
      <w:r>
        <w:t>., n. 1 /2004.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>Commento e rassegna alle sentenze della corte</w:t>
      </w:r>
      <w:r w:rsidR="001A5F10">
        <w:t xml:space="preserve"> </w:t>
      </w:r>
      <w:r>
        <w:t xml:space="preserve">costituzionale </w:t>
      </w:r>
      <w:proofErr w:type="spellStart"/>
      <w:r>
        <w:t>nn</w:t>
      </w:r>
      <w:proofErr w:type="spellEnd"/>
      <w:r>
        <w:t xml:space="preserve">. 43, 69,73, 112 del 2004 dal titolo: </w:t>
      </w:r>
      <w:r>
        <w:rPr>
          <w:i/>
        </w:rPr>
        <w:t>I Poteri sostitutivi regionali tra presupposti sostanziali e garanzie procedurali</w:t>
      </w:r>
      <w:r>
        <w:t xml:space="preserve">, in </w:t>
      </w:r>
      <w:r>
        <w:rPr>
          <w:i/>
        </w:rPr>
        <w:t>Urbanistica ed appalti</w:t>
      </w:r>
      <w:r>
        <w:t>, n. 7/2004.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 xml:space="preserve">Commento al parere del Consiglio di Stato 24 ottobre 2007, n. 1677, dal titolo </w:t>
      </w:r>
      <w:r>
        <w:rPr>
          <w:i/>
        </w:rPr>
        <w:t xml:space="preserve">C’era una volta il principio iura </w:t>
      </w:r>
      <w:proofErr w:type="spellStart"/>
      <w:r>
        <w:rPr>
          <w:i/>
        </w:rPr>
        <w:t>novit</w:t>
      </w:r>
      <w:proofErr w:type="spellEnd"/>
      <w:r>
        <w:rPr>
          <w:i/>
        </w:rPr>
        <w:t xml:space="preserve"> curia (ovvero considerazioni critiche su una peculiare lettura del principio iura </w:t>
      </w:r>
      <w:proofErr w:type="spellStart"/>
      <w:r>
        <w:rPr>
          <w:i/>
        </w:rPr>
        <w:t>novit</w:t>
      </w:r>
      <w:proofErr w:type="spellEnd"/>
      <w:r>
        <w:rPr>
          <w:i/>
        </w:rPr>
        <w:t xml:space="preserve"> curia operata dal Consiglio di Stato)</w:t>
      </w:r>
      <w:r>
        <w:t xml:space="preserve"> edito in </w:t>
      </w:r>
      <w:r>
        <w:rPr>
          <w:i/>
        </w:rPr>
        <w:t>Giurisprudenza Italiana,</w:t>
      </w:r>
      <w:r>
        <w:t xml:space="preserve"> n. 12/2008.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 xml:space="preserve">Nota alla sentenza della Corte costituzionale n. 214 del 2009 </w:t>
      </w:r>
      <w:r w:rsidRPr="00553F5C">
        <w:t>in</w:t>
      </w:r>
      <w:r>
        <w:t xml:space="preserve"> (Recentissime)</w:t>
      </w:r>
      <w:r w:rsidRPr="00553F5C">
        <w:t xml:space="preserve"> </w:t>
      </w:r>
      <w:r w:rsidRPr="00553F5C">
        <w:rPr>
          <w:i/>
        </w:rPr>
        <w:t>Giur.it</w:t>
      </w:r>
      <w:r w:rsidRPr="00553F5C">
        <w:t>.</w:t>
      </w:r>
      <w:r>
        <w:t>, n. 8-9/2009.</w:t>
      </w:r>
    </w:p>
    <w:p w:rsidR="0014061B" w:rsidRDefault="006034A6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 xml:space="preserve">Commento alla sentenza n. 78 </w:t>
      </w:r>
      <w:r w:rsidR="0014061B">
        <w:t xml:space="preserve">del 2011 della Corte costituzionale dal titolo </w:t>
      </w:r>
      <w:r w:rsidR="0014061B" w:rsidRPr="005E3FA2">
        <w:rPr>
          <w:i/>
        </w:rPr>
        <w:t>L’incostituzionalità delle interferenze regionali sui poteri commissariali del presidente della Giunta</w:t>
      </w:r>
      <w:r w:rsidR="0014061B">
        <w:rPr>
          <w:i/>
        </w:rPr>
        <w:t xml:space="preserve"> </w:t>
      </w:r>
      <w:r w:rsidR="0014061B" w:rsidRPr="005E3FA2">
        <w:t>edita</w:t>
      </w:r>
      <w:r w:rsidR="001A5F10">
        <w:t xml:space="preserve"> </w:t>
      </w:r>
      <w:r w:rsidR="0014061B" w:rsidRPr="005E3FA2">
        <w:t xml:space="preserve">in </w:t>
      </w:r>
      <w:r w:rsidR="0014061B" w:rsidRPr="005E3FA2">
        <w:rPr>
          <w:i/>
        </w:rPr>
        <w:t>Giur. Cost</w:t>
      </w:r>
      <w:r w:rsidR="0014061B" w:rsidRPr="005E3FA2">
        <w:t>., 2/2011</w:t>
      </w:r>
      <w:r w:rsidR="0014061B">
        <w:t>.</w:t>
      </w:r>
    </w:p>
    <w:p w:rsidR="0014061B" w:rsidRDefault="0014061B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>Commento alla sentenza n. 74 del 2012 della Corte costituzionale</w:t>
      </w:r>
      <w:r w:rsidR="001A5F10">
        <w:t xml:space="preserve"> </w:t>
      </w:r>
      <w:r>
        <w:t xml:space="preserve">dal titolo “Dalla </w:t>
      </w:r>
      <w:r w:rsidRPr="00B96E8C">
        <w:rPr>
          <w:i/>
        </w:rPr>
        <w:t>clausola di maggior sfavore</w:t>
      </w:r>
      <w:r>
        <w:t xml:space="preserve"> alla neutralizzazione della potestà legislativa primaria delle autonomie speciali”</w:t>
      </w:r>
      <w:r w:rsidR="001A5F10">
        <w:t xml:space="preserve"> </w:t>
      </w:r>
      <w:r>
        <w:t>in corso di pubblicazione in Giur. cost. 2/2012.</w:t>
      </w:r>
    </w:p>
    <w:p w:rsidR="008C0071" w:rsidRDefault="008C0071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>Commento alla sentenza Tar Lombardia</w:t>
      </w:r>
      <w:r w:rsidR="0093358D">
        <w:t>, sez. III,</w:t>
      </w:r>
      <w:r w:rsidR="001A5F10">
        <w:t xml:space="preserve"> </w:t>
      </w:r>
      <w:r w:rsidR="0093358D">
        <w:t>n. 1348/2013</w:t>
      </w:r>
      <w:r w:rsidR="001A5F10">
        <w:t xml:space="preserve"> </w:t>
      </w:r>
      <w:r>
        <w:t xml:space="preserve">dal titolo </w:t>
      </w:r>
      <w:r w:rsidRPr="0093358D">
        <w:rPr>
          <w:i/>
        </w:rPr>
        <w:t xml:space="preserve">Che lingua parla l’università </w:t>
      </w:r>
      <w:proofErr w:type="gramStart"/>
      <w:r w:rsidRPr="0093358D">
        <w:rPr>
          <w:i/>
        </w:rPr>
        <w:t>Italiana?</w:t>
      </w:r>
      <w:r>
        <w:t>,</w:t>
      </w:r>
      <w:proofErr w:type="gramEnd"/>
      <w:r>
        <w:t xml:space="preserve"> in </w:t>
      </w:r>
      <w:r w:rsidRPr="0093358D">
        <w:rPr>
          <w:i/>
        </w:rPr>
        <w:t>Osservatorio costituzionale</w:t>
      </w:r>
      <w:r>
        <w:t xml:space="preserve"> </w:t>
      </w:r>
      <w:r w:rsidR="001E3416">
        <w:t xml:space="preserve">- sito </w:t>
      </w:r>
      <w:proofErr w:type="spellStart"/>
      <w:r w:rsidR="001E3416">
        <w:t>Aic</w:t>
      </w:r>
      <w:proofErr w:type="spellEnd"/>
      <w:r w:rsidR="001A5F10">
        <w:t xml:space="preserve"> </w:t>
      </w:r>
    </w:p>
    <w:p w:rsidR="0014061B" w:rsidRDefault="00AF4243" w:rsidP="003108BF">
      <w:pPr>
        <w:pStyle w:val="Risultato"/>
        <w:numPr>
          <w:ilvl w:val="1"/>
          <w:numId w:val="12"/>
        </w:numPr>
        <w:ind w:left="567" w:firstLine="0"/>
        <w:jc w:val="both"/>
      </w:pPr>
      <w:r>
        <w:t xml:space="preserve">Commento alla sentenza n. 121 del 2012 della Corte costituzionale dal titolo </w:t>
      </w:r>
      <w:r w:rsidRPr="006034A6">
        <w:rPr>
          <w:i/>
        </w:rPr>
        <w:t>Brevi</w:t>
      </w:r>
      <w:r w:rsidR="006034A6">
        <w:rPr>
          <w:i/>
        </w:rPr>
        <w:t xml:space="preserve"> </w:t>
      </w:r>
      <w:r w:rsidRPr="006034A6">
        <w:rPr>
          <w:i/>
        </w:rPr>
        <w:t>note sul potere sostitutivo statale nei confronti delle Regioni per difettosa esecuzione delle decisioni della Corte costituzionale,</w:t>
      </w:r>
      <w:r>
        <w:t xml:space="preserve"> in </w:t>
      </w:r>
      <w:r w:rsidRPr="006034A6">
        <w:rPr>
          <w:i/>
        </w:rPr>
        <w:t>Giur. cost</w:t>
      </w:r>
      <w:r>
        <w:t>., n.4/2012.</w:t>
      </w:r>
    </w:p>
    <w:p w:rsidR="00A90004" w:rsidRDefault="00A90004" w:rsidP="00A90004">
      <w:pPr>
        <w:pStyle w:val="Risultato"/>
        <w:numPr>
          <w:ilvl w:val="1"/>
          <w:numId w:val="12"/>
        </w:numPr>
        <w:spacing w:after="0"/>
        <w:ind w:left="567" w:firstLine="0"/>
        <w:jc w:val="both"/>
      </w:pPr>
      <w:r>
        <w:t xml:space="preserve">Commento alle sentenze </w:t>
      </w:r>
      <w:proofErr w:type="spellStart"/>
      <w:r>
        <w:t>nn</w:t>
      </w:r>
      <w:proofErr w:type="spellEnd"/>
      <w:r>
        <w:t xml:space="preserve">. 18 e 19 del 2013 della Corte costituzionale dal titolo </w:t>
      </w:r>
      <w:r w:rsidRPr="006034A6">
        <w:rPr>
          <w:i/>
        </w:rPr>
        <w:t>Spunti critici in tema di ordinamento civile e disciplina dell’impiego pubblico regionale</w:t>
      </w:r>
      <w:r>
        <w:t xml:space="preserve">, in </w:t>
      </w:r>
      <w:r w:rsidRPr="000837CD">
        <w:rPr>
          <w:i/>
        </w:rPr>
        <w:t>Giur. cost</w:t>
      </w:r>
      <w:r>
        <w:t>., n. 2/2013</w:t>
      </w:r>
    </w:p>
    <w:p w:rsidR="00AA3EFF" w:rsidRDefault="006034A6" w:rsidP="005660B3">
      <w:pPr>
        <w:pStyle w:val="Risultato"/>
        <w:numPr>
          <w:ilvl w:val="1"/>
          <w:numId w:val="12"/>
        </w:numPr>
        <w:spacing w:after="0" w:line="360" w:lineRule="auto"/>
        <w:ind w:left="567" w:firstLine="0"/>
        <w:jc w:val="both"/>
      </w:pPr>
      <w:r>
        <w:t>Commento alla sentenza n. 231 del</w:t>
      </w:r>
      <w:r w:rsidR="00AA3EFF">
        <w:t xml:space="preserve"> 2014 della Corte costituzionale dal titolo </w:t>
      </w:r>
      <w:r w:rsidR="00AA3EFF" w:rsidRPr="00A90004">
        <w:rPr>
          <w:i/>
        </w:rPr>
        <w:t xml:space="preserve">Legge provvedimento regionale </w:t>
      </w:r>
      <w:r w:rsidR="00AA3EFF" w:rsidRPr="000837CD">
        <w:t xml:space="preserve">contra </w:t>
      </w:r>
      <w:proofErr w:type="spellStart"/>
      <w:r w:rsidR="00AA3EFF" w:rsidRPr="000837CD">
        <w:t>personam</w:t>
      </w:r>
      <w:proofErr w:type="spellEnd"/>
      <w:r w:rsidR="00AA3EFF" w:rsidRPr="00A90004">
        <w:rPr>
          <w:i/>
        </w:rPr>
        <w:t xml:space="preserve"> e scrutinio stretto di costituzionalità: un’occasione mancata</w:t>
      </w:r>
      <w:r w:rsidR="00AA3EFF">
        <w:t xml:space="preserve">, in </w:t>
      </w:r>
      <w:r w:rsidR="00AA3EFF" w:rsidRPr="00A90004">
        <w:rPr>
          <w:i/>
        </w:rPr>
        <w:t>Giur. cost</w:t>
      </w:r>
      <w:r w:rsidR="00AA3EFF">
        <w:t>. n. 5</w:t>
      </w:r>
      <w:r w:rsidR="000837CD">
        <w:t>/</w:t>
      </w:r>
      <w:r w:rsidR="00AA3EFF">
        <w:t xml:space="preserve">2014. </w:t>
      </w:r>
    </w:p>
    <w:p w:rsidR="003A6787" w:rsidRDefault="005660B3" w:rsidP="005660B3">
      <w:pPr>
        <w:pStyle w:val="Risultato"/>
        <w:spacing w:after="0" w:line="360" w:lineRule="auto"/>
        <w:ind w:left="567"/>
        <w:jc w:val="both"/>
      </w:pPr>
      <w:r>
        <w:t xml:space="preserve">16.  </w:t>
      </w:r>
      <w:r w:rsidR="003A6787">
        <w:t xml:space="preserve">Commento alla sentenza Consiglio di Stato, sez. VI, </w:t>
      </w:r>
      <w:r w:rsidR="003A6787" w:rsidRPr="003A6787">
        <w:t>2</w:t>
      </w:r>
      <w:r w:rsidR="003A6787">
        <w:t>7 marzo 2017,</w:t>
      </w:r>
      <w:r w:rsidR="003A6787" w:rsidRPr="003A6787">
        <w:t xml:space="preserve"> n. 1388 </w:t>
      </w:r>
      <w:r w:rsidR="003A6787">
        <w:t xml:space="preserve">dal titolo </w:t>
      </w:r>
      <w:r w:rsidR="003A6787" w:rsidRPr="005660B3">
        <w:rPr>
          <w:i/>
        </w:rPr>
        <w:t>Il Consiglio di Stato e la benedizione pasquale nella scuola pubblica. Considerazioni critiche su una decisione dal sapore post-secolare</w:t>
      </w:r>
      <w:r w:rsidR="003A6787">
        <w:t xml:space="preserve">, in </w:t>
      </w:r>
      <w:r w:rsidR="003A6787" w:rsidRPr="005660B3">
        <w:rPr>
          <w:i/>
        </w:rPr>
        <w:t>Giur. cost</w:t>
      </w:r>
      <w:r w:rsidR="003A6787">
        <w:t>. n. 6/2017.</w:t>
      </w:r>
    </w:p>
    <w:p w:rsidR="006C32C8" w:rsidRDefault="0014061B" w:rsidP="003108BF">
      <w:pPr>
        <w:ind w:left="567"/>
        <w:jc w:val="both"/>
      </w:pPr>
      <w:proofErr w:type="gramStart"/>
      <w:r>
        <w:t>E’</w:t>
      </w:r>
      <w:proofErr w:type="gramEnd"/>
      <w:r>
        <w:t xml:space="preserve"> inoltre autore di numerose note redazionali firmate e non</w:t>
      </w:r>
      <w:r w:rsidR="0026415A">
        <w:t xml:space="preserve"> firmate</w:t>
      </w:r>
      <w:r>
        <w:t xml:space="preserve"> edite sulla rivista Giurisprudenza</w:t>
      </w:r>
      <w:r w:rsidR="006034A6">
        <w:t xml:space="preserve"> </w:t>
      </w:r>
      <w:r w:rsidR="002174BB">
        <w:t>Italiana nonché di numerose rassegne riguardanti</w:t>
      </w:r>
      <w:r w:rsidR="001A5F10">
        <w:t xml:space="preserve"> </w:t>
      </w:r>
      <w:r w:rsidR="002174BB">
        <w:t>sentenze di giudici amm</w:t>
      </w:r>
      <w:r w:rsidR="002244A9">
        <w:t xml:space="preserve">inistrativi ed ordinari su temi </w:t>
      </w:r>
      <w:r w:rsidR="002174BB">
        <w:t>riguardanti il Mezzogiorno e le aree sottosviluppate</w:t>
      </w:r>
      <w:r w:rsidR="001A5F10">
        <w:t xml:space="preserve"> </w:t>
      </w:r>
      <w:r w:rsidR="002174BB">
        <w:t xml:space="preserve">edite sulla </w:t>
      </w:r>
      <w:r w:rsidR="002174BB" w:rsidRPr="002174BB">
        <w:rPr>
          <w:i/>
        </w:rPr>
        <w:t>Rivista Giuridica del Mezzogiorno</w:t>
      </w:r>
      <w:r w:rsidR="002174BB">
        <w:rPr>
          <w:i/>
        </w:rPr>
        <w:t>,</w:t>
      </w:r>
      <w:r w:rsidR="001A5F10">
        <w:rPr>
          <w:i/>
        </w:rPr>
        <w:t xml:space="preserve"> </w:t>
      </w:r>
      <w:r w:rsidR="002174BB">
        <w:t xml:space="preserve">dal </w:t>
      </w:r>
      <w:r w:rsidR="001877D9">
        <w:t>2005 sino al momento attuale</w:t>
      </w:r>
      <w:r w:rsidR="002174BB">
        <w:t>.</w:t>
      </w:r>
      <w:r>
        <w:tab/>
      </w:r>
    </w:p>
    <w:p w:rsidR="006C32C8" w:rsidRDefault="006C32C8" w:rsidP="003108BF">
      <w:pPr>
        <w:pStyle w:val="Risultato"/>
        <w:ind w:left="567"/>
        <w:jc w:val="both"/>
        <w:rPr>
          <w:b/>
          <w:sz w:val="28"/>
        </w:rPr>
      </w:pPr>
      <w:r>
        <w:rPr>
          <w:b/>
          <w:sz w:val="28"/>
        </w:rPr>
        <w:t>Lingue straniere</w:t>
      </w:r>
    </w:p>
    <w:p w:rsidR="006C32C8" w:rsidRDefault="006C32C8" w:rsidP="003108BF">
      <w:pPr>
        <w:pStyle w:val="Risultato"/>
        <w:ind w:left="567"/>
        <w:jc w:val="both"/>
      </w:pPr>
      <w:r>
        <w:t>Buona conoscenza della lingua francese, scritta e parlata; discreta conoscenza della lingua inglese.</w:t>
      </w:r>
    </w:p>
    <w:p w:rsidR="00C20961" w:rsidRDefault="00C20961" w:rsidP="003108BF">
      <w:pPr>
        <w:pStyle w:val="Risultato"/>
        <w:ind w:left="567"/>
        <w:jc w:val="both"/>
      </w:pPr>
    </w:p>
    <w:p w:rsidR="00C20961" w:rsidRDefault="00F05FB6" w:rsidP="003108BF">
      <w:pPr>
        <w:pStyle w:val="Risultato"/>
        <w:ind w:left="567"/>
        <w:jc w:val="both"/>
      </w:pPr>
      <w:proofErr w:type="gramStart"/>
      <w:r>
        <w:t>Rom</w:t>
      </w:r>
      <w:r w:rsidR="00E16292">
        <w:t>a,  14</w:t>
      </w:r>
      <w:proofErr w:type="gramEnd"/>
      <w:r w:rsidR="00E16292">
        <w:t xml:space="preserve"> novembre</w:t>
      </w:r>
      <w:r w:rsidR="002C65B8">
        <w:t xml:space="preserve"> </w:t>
      </w:r>
      <w:r w:rsidR="00E929E0">
        <w:t xml:space="preserve"> 2020</w:t>
      </w:r>
      <w:r w:rsidR="00C20961">
        <w:t>.</w:t>
      </w:r>
    </w:p>
    <w:p w:rsidR="002C65B8" w:rsidRDefault="002C65B8" w:rsidP="003108BF">
      <w:pPr>
        <w:pStyle w:val="Risultato"/>
        <w:ind w:left="567"/>
        <w:jc w:val="both"/>
      </w:pPr>
    </w:p>
    <w:p w:rsidR="00594A93" w:rsidRPr="002C65B8" w:rsidRDefault="002C65B8" w:rsidP="003108BF">
      <w:pPr>
        <w:pStyle w:val="Risultato"/>
        <w:ind w:left="567"/>
        <w:jc w:val="both"/>
        <w:rPr>
          <w:i/>
        </w:rPr>
      </w:pPr>
      <w:r w:rsidRPr="002C65B8">
        <w:rPr>
          <w:i/>
        </w:rPr>
        <w:lastRenderedPageBreak/>
        <w:t xml:space="preserve">Autorizzo il trattamento dei dati personali contenuti nel presente curriculum secondo quanto previsto </w:t>
      </w:r>
      <w:proofErr w:type="gramStart"/>
      <w:r w:rsidRPr="002C65B8">
        <w:rPr>
          <w:i/>
        </w:rPr>
        <w:t>dal  Reg.</w:t>
      </w:r>
      <w:proofErr w:type="gramEnd"/>
      <w:r w:rsidRPr="002C65B8">
        <w:rPr>
          <w:i/>
        </w:rPr>
        <w:t xml:space="preserve"> Ue 2016/679 e dal d.lgs. n. 196 del 2003 e ss.mm. </w:t>
      </w:r>
    </w:p>
    <w:p w:rsidR="00AE5C3D" w:rsidRPr="002C65B8" w:rsidRDefault="00AE5C3D" w:rsidP="003108BF">
      <w:pPr>
        <w:pStyle w:val="Risultato"/>
        <w:ind w:left="567"/>
        <w:jc w:val="both"/>
        <w:rPr>
          <w:i/>
        </w:rPr>
      </w:pPr>
    </w:p>
    <w:p w:rsidR="00594A93" w:rsidRDefault="00594A93" w:rsidP="003108BF">
      <w:pPr>
        <w:pStyle w:val="Risultato"/>
        <w:ind w:left="567"/>
        <w:jc w:val="both"/>
      </w:pPr>
    </w:p>
    <w:sectPr w:rsidR="00594A93" w:rsidSect="00737010">
      <w:footerReference w:type="even" r:id="rId13"/>
      <w:footerReference w:type="default" r:id="rId14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1418" w:right="1984" w:bottom="1134" w:left="193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3B" w:rsidRDefault="00A8713B">
      <w:r>
        <w:separator/>
      </w:r>
    </w:p>
  </w:endnote>
  <w:endnote w:type="continuationSeparator" w:id="0">
    <w:p w:rsidR="00A8713B" w:rsidRDefault="00A8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4" w:rsidRDefault="008A0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6355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3554" w:rsidRDefault="009635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4" w:rsidRDefault="008A0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6355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292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963554" w:rsidRDefault="009635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3B" w:rsidRDefault="00A8713B">
      <w:r>
        <w:separator/>
      </w:r>
    </w:p>
  </w:footnote>
  <w:footnote w:type="continuationSeparator" w:id="0">
    <w:p w:rsidR="00A8713B" w:rsidRDefault="00A8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8A59DE"/>
    <w:multiLevelType w:val="hybridMultilevel"/>
    <w:tmpl w:val="C896C3D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AB7B35"/>
    <w:multiLevelType w:val="hybridMultilevel"/>
    <w:tmpl w:val="1FFED2F2"/>
    <w:lvl w:ilvl="0" w:tplc="9E9672CA">
      <w:numFmt w:val="bullet"/>
      <w:lvlText w:val="-"/>
      <w:lvlJc w:val="left"/>
      <w:pPr>
        <w:ind w:left="972" w:hanging="360"/>
      </w:pPr>
      <w:rPr>
        <w:rFonts w:ascii="Calibri" w:eastAsia="Calibri" w:hAnsi="Calibri" w:cs="Times New Roman" w:hint="default"/>
      </w:rPr>
    </w:lvl>
    <w:lvl w:ilvl="1" w:tplc="29120874">
      <w:numFmt w:val="bullet"/>
      <w:lvlText w:val=""/>
      <w:lvlJc w:val="left"/>
      <w:pPr>
        <w:ind w:left="1692" w:hanging="360"/>
      </w:pPr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363C5122"/>
    <w:multiLevelType w:val="hybridMultilevel"/>
    <w:tmpl w:val="D4E01182"/>
    <w:lvl w:ilvl="0" w:tplc="DE701AFE">
      <w:start w:val="1"/>
      <w:numFmt w:val="decimal"/>
      <w:pStyle w:val="Sezione-1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6040C"/>
    <w:multiLevelType w:val="hybridMultilevel"/>
    <w:tmpl w:val="C8E80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67A2"/>
    <w:multiLevelType w:val="hybridMultilevel"/>
    <w:tmpl w:val="85FA2E0C"/>
    <w:lvl w:ilvl="0" w:tplc="6A5A8C94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32392E"/>
    <w:multiLevelType w:val="hybridMultilevel"/>
    <w:tmpl w:val="B51A24E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70299E"/>
    <w:multiLevelType w:val="hybridMultilevel"/>
    <w:tmpl w:val="7BC49302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3B7EC7FE">
      <w:numFmt w:val="bullet"/>
      <w:lvlText w:val="-"/>
      <w:lvlJc w:val="left"/>
      <w:pPr>
        <w:ind w:left="1905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73861CCE"/>
    <w:multiLevelType w:val="hybridMultilevel"/>
    <w:tmpl w:val="93C43CF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0C47EB"/>
    <w:multiLevelType w:val="hybridMultilevel"/>
    <w:tmpl w:val="2E945408"/>
    <w:lvl w:ilvl="0" w:tplc="2690B6AA">
      <w:numFmt w:val="bullet"/>
      <w:lvlText w:val="-"/>
      <w:lvlJc w:val="left"/>
      <w:pPr>
        <w:ind w:left="82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4860FC4"/>
    <w:multiLevelType w:val="hybridMultilevel"/>
    <w:tmpl w:val="2212808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C44A5A"/>
    <w:multiLevelType w:val="hybridMultilevel"/>
    <w:tmpl w:val="F494577C"/>
    <w:lvl w:ilvl="0" w:tplc="4E3245CC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E305B67"/>
    <w:multiLevelType w:val="hybridMultilevel"/>
    <w:tmpl w:val="766EB99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0F">
      <w:start w:val="1"/>
      <w:numFmt w:val="decimal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8"/>
    <w:rsid w:val="0002047C"/>
    <w:rsid w:val="0003691C"/>
    <w:rsid w:val="00054A45"/>
    <w:rsid w:val="00055843"/>
    <w:rsid w:val="00065CAE"/>
    <w:rsid w:val="0006711A"/>
    <w:rsid w:val="000747B4"/>
    <w:rsid w:val="00082808"/>
    <w:rsid w:val="000837CD"/>
    <w:rsid w:val="00096005"/>
    <w:rsid w:val="000A4E7D"/>
    <w:rsid w:val="000A53B6"/>
    <w:rsid w:val="000A564D"/>
    <w:rsid w:val="000B07CF"/>
    <w:rsid w:val="000C147A"/>
    <w:rsid w:val="000C5A66"/>
    <w:rsid w:val="000D0378"/>
    <w:rsid w:val="000D2C1B"/>
    <w:rsid w:val="000E01B3"/>
    <w:rsid w:val="000E0FAC"/>
    <w:rsid w:val="000F2599"/>
    <w:rsid w:val="0010604B"/>
    <w:rsid w:val="00121C7E"/>
    <w:rsid w:val="001379C7"/>
    <w:rsid w:val="0014061B"/>
    <w:rsid w:val="00143A29"/>
    <w:rsid w:val="00152288"/>
    <w:rsid w:val="001614BF"/>
    <w:rsid w:val="00167CF2"/>
    <w:rsid w:val="001816B1"/>
    <w:rsid w:val="00181B11"/>
    <w:rsid w:val="00184DF1"/>
    <w:rsid w:val="001877D9"/>
    <w:rsid w:val="00194F06"/>
    <w:rsid w:val="001952A2"/>
    <w:rsid w:val="001A5F10"/>
    <w:rsid w:val="001B3EAB"/>
    <w:rsid w:val="001B71B7"/>
    <w:rsid w:val="001C50E9"/>
    <w:rsid w:val="001D0DF4"/>
    <w:rsid w:val="001E16D1"/>
    <w:rsid w:val="001E3416"/>
    <w:rsid w:val="001E45F2"/>
    <w:rsid w:val="001F25AA"/>
    <w:rsid w:val="001F4C7E"/>
    <w:rsid w:val="001F4CC2"/>
    <w:rsid w:val="00201FC0"/>
    <w:rsid w:val="00203D1E"/>
    <w:rsid w:val="00211EC8"/>
    <w:rsid w:val="00215BC7"/>
    <w:rsid w:val="002174BB"/>
    <w:rsid w:val="00217660"/>
    <w:rsid w:val="002244A9"/>
    <w:rsid w:val="0023378D"/>
    <w:rsid w:val="002528E1"/>
    <w:rsid w:val="0026415A"/>
    <w:rsid w:val="00265F87"/>
    <w:rsid w:val="00291138"/>
    <w:rsid w:val="00293227"/>
    <w:rsid w:val="002A26B8"/>
    <w:rsid w:val="002C1F7C"/>
    <w:rsid w:val="002C65B8"/>
    <w:rsid w:val="002F60FF"/>
    <w:rsid w:val="003108BF"/>
    <w:rsid w:val="0031600B"/>
    <w:rsid w:val="00317617"/>
    <w:rsid w:val="00323105"/>
    <w:rsid w:val="00342EE8"/>
    <w:rsid w:val="00344AF2"/>
    <w:rsid w:val="00350674"/>
    <w:rsid w:val="00373D01"/>
    <w:rsid w:val="003772C8"/>
    <w:rsid w:val="00391743"/>
    <w:rsid w:val="003A6787"/>
    <w:rsid w:val="003B7B60"/>
    <w:rsid w:val="003C3AB6"/>
    <w:rsid w:val="003C5E20"/>
    <w:rsid w:val="003E6C76"/>
    <w:rsid w:val="00416918"/>
    <w:rsid w:val="00425D3C"/>
    <w:rsid w:val="004349C0"/>
    <w:rsid w:val="00457659"/>
    <w:rsid w:val="00457AD6"/>
    <w:rsid w:val="00462900"/>
    <w:rsid w:val="0047260E"/>
    <w:rsid w:val="00492949"/>
    <w:rsid w:val="004A2F0F"/>
    <w:rsid w:val="004A4678"/>
    <w:rsid w:val="004A582C"/>
    <w:rsid w:val="004C5C44"/>
    <w:rsid w:val="00506CA0"/>
    <w:rsid w:val="005157C8"/>
    <w:rsid w:val="00545197"/>
    <w:rsid w:val="00553490"/>
    <w:rsid w:val="00553F5C"/>
    <w:rsid w:val="005605C0"/>
    <w:rsid w:val="005660B3"/>
    <w:rsid w:val="005733A4"/>
    <w:rsid w:val="005830F1"/>
    <w:rsid w:val="00594A93"/>
    <w:rsid w:val="00594C2B"/>
    <w:rsid w:val="005959E7"/>
    <w:rsid w:val="00597CCA"/>
    <w:rsid w:val="005E3FA2"/>
    <w:rsid w:val="005F1053"/>
    <w:rsid w:val="005F71E0"/>
    <w:rsid w:val="00601B61"/>
    <w:rsid w:val="006034A6"/>
    <w:rsid w:val="00604C84"/>
    <w:rsid w:val="0061568B"/>
    <w:rsid w:val="00627572"/>
    <w:rsid w:val="00637B34"/>
    <w:rsid w:val="006427E9"/>
    <w:rsid w:val="006463F0"/>
    <w:rsid w:val="00651CC2"/>
    <w:rsid w:val="00660072"/>
    <w:rsid w:val="00673FFF"/>
    <w:rsid w:val="00691F1B"/>
    <w:rsid w:val="006B0FD6"/>
    <w:rsid w:val="006B595F"/>
    <w:rsid w:val="006C32C8"/>
    <w:rsid w:val="006D7CDD"/>
    <w:rsid w:val="006E0BE1"/>
    <w:rsid w:val="006E6935"/>
    <w:rsid w:val="007049E2"/>
    <w:rsid w:val="00707EEB"/>
    <w:rsid w:val="00715B62"/>
    <w:rsid w:val="007203AA"/>
    <w:rsid w:val="00737010"/>
    <w:rsid w:val="00737061"/>
    <w:rsid w:val="00775A5E"/>
    <w:rsid w:val="00790A1E"/>
    <w:rsid w:val="007A1BF7"/>
    <w:rsid w:val="007A7838"/>
    <w:rsid w:val="007B0B03"/>
    <w:rsid w:val="007B69BC"/>
    <w:rsid w:val="007C45EC"/>
    <w:rsid w:val="007C6D5C"/>
    <w:rsid w:val="007C7B8A"/>
    <w:rsid w:val="007D0450"/>
    <w:rsid w:val="007F5F4C"/>
    <w:rsid w:val="007F6328"/>
    <w:rsid w:val="00801F69"/>
    <w:rsid w:val="00803ED4"/>
    <w:rsid w:val="00817BED"/>
    <w:rsid w:val="008324E0"/>
    <w:rsid w:val="0083580D"/>
    <w:rsid w:val="00841392"/>
    <w:rsid w:val="00841E1C"/>
    <w:rsid w:val="00842BD7"/>
    <w:rsid w:val="00842CE0"/>
    <w:rsid w:val="00851248"/>
    <w:rsid w:val="0085612C"/>
    <w:rsid w:val="00856B80"/>
    <w:rsid w:val="00864CBA"/>
    <w:rsid w:val="00866A1A"/>
    <w:rsid w:val="0086786A"/>
    <w:rsid w:val="0087221D"/>
    <w:rsid w:val="00873307"/>
    <w:rsid w:val="0088047C"/>
    <w:rsid w:val="00883F7B"/>
    <w:rsid w:val="0088535F"/>
    <w:rsid w:val="008A0584"/>
    <w:rsid w:val="008B0B27"/>
    <w:rsid w:val="008B363C"/>
    <w:rsid w:val="008B61EC"/>
    <w:rsid w:val="008B66AD"/>
    <w:rsid w:val="008C0071"/>
    <w:rsid w:val="008E0F9B"/>
    <w:rsid w:val="008F11D2"/>
    <w:rsid w:val="008F37BA"/>
    <w:rsid w:val="009040DA"/>
    <w:rsid w:val="00904CB3"/>
    <w:rsid w:val="0093358D"/>
    <w:rsid w:val="009341F0"/>
    <w:rsid w:val="009543D1"/>
    <w:rsid w:val="00963554"/>
    <w:rsid w:val="009654C2"/>
    <w:rsid w:val="009718EE"/>
    <w:rsid w:val="0097350C"/>
    <w:rsid w:val="00990494"/>
    <w:rsid w:val="009A7595"/>
    <w:rsid w:val="009B1831"/>
    <w:rsid w:val="009C0E6A"/>
    <w:rsid w:val="009D2102"/>
    <w:rsid w:val="009E677C"/>
    <w:rsid w:val="009E72B5"/>
    <w:rsid w:val="009F25B5"/>
    <w:rsid w:val="00A0035A"/>
    <w:rsid w:val="00A04011"/>
    <w:rsid w:val="00A11862"/>
    <w:rsid w:val="00A23113"/>
    <w:rsid w:val="00A26636"/>
    <w:rsid w:val="00A32D8E"/>
    <w:rsid w:val="00A36920"/>
    <w:rsid w:val="00A37DA0"/>
    <w:rsid w:val="00A40A51"/>
    <w:rsid w:val="00A505CE"/>
    <w:rsid w:val="00A52230"/>
    <w:rsid w:val="00A64B10"/>
    <w:rsid w:val="00A66830"/>
    <w:rsid w:val="00A678AA"/>
    <w:rsid w:val="00A710E8"/>
    <w:rsid w:val="00A7235D"/>
    <w:rsid w:val="00A72C76"/>
    <w:rsid w:val="00A75A37"/>
    <w:rsid w:val="00A8713B"/>
    <w:rsid w:val="00A90004"/>
    <w:rsid w:val="00A91152"/>
    <w:rsid w:val="00A92D6D"/>
    <w:rsid w:val="00A92E1C"/>
    <w:rsid w:val="00A933FF"/>
    <w:rsid w:val="00A97DF2"/>
    <w:rsid w:val="00AA0986"/>
    <w:rsid w:val="00AA3EFF"/>
    <w:rsid w:val="00AA4E2F"/>
    <w:rsid w:val="00AB0749"/>
    <w:rsid w:val="00AB3F10"/>
    <w:rsid w:val="00AC3862"/>
    <w:rsid w:val="00AC3B28"/>
    <w:rsid w:val="00AD2126"/>
    <w:rsid w:val="00AE19ED"/>
    <w:rsid w:val="00AE5C3D"/>
    <w:rsid w:val="00AF3BF3"/>
    <w:rsid w:val="00AF4243"/>
    <w:rsid w:val="00B01D61"/>
    <w:rsid w:val="00B12F4D"/>
    <w:rsid w:val="00B153C9"/>
    <w:rsid w:val="00B168B0"/>
    <w:rsid w:val="00B43499"/>
    <w:rsid w:val="00B521CA"/>
    <w:rsid w:val="00B60C2F"/>
    <w:rsid w:val="00B6610D"/>
    <w:rsid w:val="00B71ECD"/>
    <w:rsid w:val="00B96E8C"/>
    <w:rsid w:val="00BB0539"/>
    <w:rsid w:val="00BC09EE"/>
    <w:rsid w:val="00BD4FD2"/>
    <w:rsid w:val="00BD7372"/>
    <w:rsid w:val="00BF0830"/>
    <w:rsid w:val="00BF1FF5"/>
    <w:rsid w:val="00C065CA"/>
    <w:rsid w:val="00C06874"/>
    <w:rsid w:val="00C1299E"/>
    <w:rsid w:val="00C20961"/>
    <w:rsid w:val="00C357A7"/>
    <w:rsid w:val="00C375D0"/>
    <w:rsid w:val="00C444E6"/>
    <w:rsid w:val="00C50D18"/>
    <w:rsid w:val="00C536EE"/>
    <w:rsid w:val="00C63F8D"/>
    <w:rsid w:val="00C66B3E"/>
    <w:rsid w:val="00C76871"/>
    <w:rsid w:val="00C87511"/>
    <w:rsid w:val="00C94C0F"/>
    <w:rsid w:val="00C95B97"/>
    <w:rsid w:val="00C97ACB"/>
    <w:rsid w:val="00CA7EC3"/>
    <w:rsid w:val="00CC0663"/>
    <w:rsid w:val="00CC0792"/>
    <w:rsid w:val="00CD1DF3"/>
    <w:rsid w:val="00CF5770"/>
    <w:rsid w:val="00D013E5"/>
    <w:rsid w:val="00D41D9B"/>
    <w:rsid w:val="00D46985"/>
    <w:rsid w:val="00D62922"/>
    <w:rsid w:val="00D87213"/>
    <w:rsid w:val="00DB30D4"/>
    <w:rsid w:val="00DB703B"/>
    <w:rsid w:val="00DC1DF4"/>
    <w:rsid w:val="00DC21C5"/>
    <w:rsid w:val="00DC649D"/>
    <w:rsid w:val="00DD55CF"/>
    <w:rsid w:val="00DF00FC"/>
    <w:rsid w:val="00E16292"/>
    <w:rsid w:val="00E175B9"/>
    <w:rsid w:val="00E26BDB"/>
    <w:rsid w:val="00E279B0"/>
    <w:rsid w:val="00E32BD6"/>
    <w:rsid w:val="00E40A9E"/>
    <w:rsid w:val="00E458C2"/>
    <w:rsid w:val="00E64A5F"/>
    <w:rsid w:val="00E658EE"/>
    <w:rsid w:val="00E66006"/>
    <w:rsid w:val="00E71936"/>
    <w:rsid w:val="00E774CF"/>
    <w:rsid w:val="00E81FB7"/>
    <w:rsid w:val="00E8766A"/>
    <w:rsid w:val="00E929E0"/>
    <w:rsid w:val="00EA12D6"/>
    <w:rsid w:val="00EA141F"/>
    <w:rsid w:val="00EA25C1"/>
    <w:rsid w:val="00EB18CE"/>
    <w:rsid w:val="00EB438B"/>
    <w:rsid w:val="00ED18BE"/>
    <w:rsid w:val="00ED1BBF"/>
    <w:rsid w:val="00EE7B3D"/>
    <w:rsid w:val="00F00748"/>
    <w:rsid w:val="00F05FB6"/>
    <w:rsid w:val="00F10716"/>
    <w:rsid w:val="00F213C4"/>
    <w:rsid w:val="00F31E1C"/>
    <w:rsid w:val="00F50908"/>
    <w:rsid w:val="00F61CB5"/>
    <w:rsid w:val="00F67C05"/>
    <w:rsid w:val="00F7334F"/>
    <w:rsid w:val="00F73AB0"/>
    <w:rsid w:val="00F83A4E"/>
    <w:rsid w:val="00F8593E"/>
    <w:rsid w:val="00FA67DE"/>
    <w:rsid w:val="00FB19AA"/>
    <w:rsid w:val="00FB2755"/>
    <w:rsid w:val="00FC3049"/>
    <w:rsid w:val="00FC5A8F"/>
    <w:rsid w:val="00FE34DA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DE1A82-22DA-4DB2-A916-C7C7C16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4C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E8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qFormat/>
    <w:rsid w:val="00737010"/>
    <w:pPr>
      <w:keepNext/>
      <w:spacing w:before="240" w:after="60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6E8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character" w:default="1" w:styleId="Carpredefinitoparagrafo">
    <w:name w:val="Default Paragraph Font"/>
    <w:uiPriority w:val="1"/>
    <w:semiHidden/>
    <w:unhideWhenUsed/>
    <w:rsid w:val="00864CB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864CBA"/>
  </w:style>
  <w:style w:type="paragraph" w:styleId="Corpotesto">
    <w:name w:val="Body Text"/>
    <w:basedOn w:val="Normale"/>
    <w:rsid w:val="00737010"/>
    <w:pPr>
      <w:spacing w:after="80"/>
    </w:pPr>
  </w:style>
  <w:style w:type="paragraph" w:customStyle="1" w:styleId="RientrocorpodeltestoRientrocorpotestoRientroCorpotesto">
    <w:name w:val="Rientro corpo del testo.Rientro corpo testo.Rientro Corpo testo"/>
    <w:basedOn w:val="Corpotesto"/>
    <w:rsid w:val="00737010"/>
    <w:pPr>
      <w:pBdr>
        <w:left w:val="single" w:sz="6" w:space="23" w:color="auto"/>
      </w:pBdr>
      <w:ind w:left="360"/>
    </w:pPr>
  </w:style>
  <w:style w:type="paragraph" w:customStyle="1" w:styleId="Data1">
    <w:name w:val="Data1"/>
    <w:basedOn w:val="Corpotesto"/>
    <w:rsid w:val="00737010"/>
    <w:pPr>
      <w:keepNext/>
      <w:framePr w:w="3600" w:vSpace="58" w:wrap="auto" w:vAnchor="text" w:hAnchor="page" w:y="217"/>
      <w:spacing w:after="0"/>
      <w:ind w:left="1080" w:right="540"/>
    </w:pPr>
  </w:style>
  <w:style w:type="paragraph" w:customStyle="1" w:styleId="CittStato">
    <w:name w:val="Città/Stato"/>
    <w:basedOn w:val="Corpotesto"/>
    <w:rsid w:val="00737010"/>
    <w:pPr>
      <w:keepNext/>
      <w:spacing w:after="0"/>
    </w:pPr>
    <w:rPr>
      <w:b/>
      <w:i/>
    </w:rPr>
  </w:style>
  <w:style w:type="character" w:customStyle="1" w:styleId="Evidenziato">
    <w:name w:val="Evidenziato"/>
    <w:rsid w:val="00737010"/>
    <w:rPr>
      <w:i/>
    </w:rPr>
  </w:style>
  <w:style w:type="paragraph" w:styleId="Pidipagina">
    <w:name w:val="footer"/>
    <w:basedOn w:val="BaseIntestazione"/>
    <w:rsid w:val="00737010"/>
  </w:style>
  <w:style w:type="paragraph" w:customStyle="1" w:styleId="Nomesociet">
    <w:name w:val="Nome società"/>
    <w:basedOn w:val="Corpotesto"/>
    <w:rsid w:val="00737010"/>
    <w:pPr>
      <w:keepNext/>
      <w:spacing w:before="160" w:after="0"/>
    </w:pPr>
    <w:rPr>
      <w:b/>
    </w:rPr>
  </w:style>
  <w:style w:type="paragraph" w:styleId="Intestazione">
    <w:name w:val="header"/>
    <w:basedOn w:val="BaseIntestazione"/>
    <w:rsid w:val="00737010"/>
  </w:style>
  <w:style w:type="paragraph" w:customStyle="1" w:styleId="Etichettadocumento">
    <w:name w:val="Etichetta documento"/>
    <w:basedOn w:val="BaseTitolo"/>
    <w:rsid w:val="00737010"/>
    <w:rPr>
      <w:sz w:val="20"/>
    </w:rPr>
  </w:style>
  <w:style w:type="paragraph" w:customStyle="1" w:styleId="BaseNota">
    <w:name w:val="Base Nota"/>
    <w:basedOn w:val="Normale"/>
    <w:rsid w:val="0073701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Instituzione">
    <w:name w:val="Instituzione"/>
    <w:basedOn w:val="Corpotesto"/>
    <w:rsid w:val="00737010"/>
    <w:pPr>
      <w:keepNext/>
      <w:spacing w:before="160" w:after="0"/>
    </w:pPr>
    <w:rPr>
      <w:b/>
    </w:rPr>
  </w:style>
  <w:style w:type="paragraph" w:customStyle="1" w:styleId="BaseIntestazione">
    <w:name w:val="Base Intestazione"/>
    <w:basedOn w:val="Normale"/>
    <w:rsid w:val="00737010"/>
    <w:pPr>
      <w:tabs>
        <w:tab w:val="center" w:pos="3780"/>
        <w:tab w:val="right" w:pos="7560"/>
      </w:tabs>
    </w:pPr>
  </w:style>
  <w:style w:type="paragraph" w:styleId="Elenco">
    <w:name w:val="List"/>
    <w:basedOn w:val="Normale"/>
    <w:uiPriority w:val="99"/>
    <w:unhideWhenUsed/>
    <w:rsid w:val="00B96E8C"/>
    <w:pPr>
      <w:ind w:left="283" w:hanging="283"/>
      <w:contextualSpacing/>
    </w:pPr>
  </w:style>
  <w:style w:type="paragraph" w:styleId="Puntoelenco">
    <w:name w:val="List Bullet"/>
    <w:basedOn w:val="Elenco"/>
    <w:rsid w:val="00737010"/>
  </w:style>
  <w:style w:type="paragraph" w:customStyle="1" w:styleId="BaseTitolo">
    <w:name w:val="Base Titolo"/>
    <w:basedOn w:val="Normale"/>
    <w:rsid w:val="00737010"/>
    <w:pPr>
      <w:keepNext/>
      <w:spacing w:before="240" w:after="120"/>
    </w:pPr>
    <w:rPr>
      <w:b/>
      <w:sz w:val="36"/>
    </w:rPr>
  </w:style>
  <w:style w:type="character" w:customStyle="1" w:styleId="Incarico">
    <w:name w:val="Incarico"/>
    <w:rsid w:val="00737010"/>
    <w:rPr>
      <w:i/>
    </w:rPr>
  </w:style>
  <w:style w:type="character" w:customStyle="1" w:styleId="Inizioinevidenza">
    <w:name w:val="Inizio in evidenza"/>
    <w:rsid w:val="00737010"/>
    <w:rPr>
      <w:b/>
      <w:i/>
    </w:rPr>
  </w:style>
  <w:style w:type="paragraph" w:styleId="Elenco2">
    <w:name w:val="List 2"/>
    <w:basedOn w:val="Elenco"/>
    <w:rsid w:val="00737010"/>
    <w:pPr>
      <w:pBdr>
        <w:left w:val="single" w:sz="6" w:space="23" w:color="auto"/>
      </w:pBdr>
      <w:tabs>
        <w:tab w:val="left" w:pos="720"/>
      </w:tabs>
      <w:ind w:left="720"/>
    </w:pPr>
  </w:style>
  <w:style w:type="paragraph" w:styleId="Numeroelenco">
    <w:name w:val="List Number"/>
    <w:basedOn w:val="Elenco"/>
    <w:rsid w:val="00737010"/>
  </w:style>
  <w:style w:type="paragraph" w:styleId="Elenco3">
    <w:name w:val="List 3"/>
    <w:basedOn w:val="Elenco"/>
    <w:rsid w:val="00737010"/>
    <w:pPr>
      <w:tabs>
        <w:tab w:val="left" w:pos="1080"/>
      </w:tabs>
      <w:ind w:left="1080"/>
    </w:pPr>
  </w:style>
  <w:style w:type="paragraph" w:styleId="Elenco4">
    <w:name w:val="List 4"/>
    <w:basedOn w:val="Elenco"/>
    <w:rsid w:val="00737010"/>
    <w:pPr>
      <w:tabs>
        <w:tab w:val="left" w:pos="1440"/>
      </w:tabs>
      <w:ind w:left="1440"/>
    </w:pPr>
  </w:style>
  <w:style w:type="paragraph" w:styleId="Testomacro">
    <w:name w:val="macro"/>
    <w:basedOn w:val="Corpotesto"/>
    <w:semiHidden/>
    <w:rsid w:val="00737010"/>
    <w:pPr>
      <w:spacing w:after="120"/>
    </w:pPr>
    <w:rPr>
      <w:rFonts w:ascii="Courier New" w:hAnsi="Courier New"/>
    </w:rPr>
  </w:style>
  <w:style w:type="paragraph" w:customStyle="1" w:styleId="Nome">
    <w:name w:val="Nome"/>
    <w:basedOn w:val="Corpotesto"/>
    <w:rsid w:val="00737010"/>
    <w:pPr>
      <w:keepNext/>
    </w:pPr>
    <w:rPr>
      <w:b/>
    </w:rPr>
  </w:style>
  <w:style w:type="paragraph" w:customStyle="1" w:styleId="Obiettivi">
    <w:name w:val="Obiettivi"/>
    <w:basedOn w:val="Corpotesto"/>
    <w:rsid w:val="00737010"/>
    <w:pPr>
      <w:spacing w:before="320" w:after="120"/>
    </w:pPr>
    <w:rPr>
      <w:i/>
      <w:sz w:val="18"/>
    </w:rPr>
  </w:style>
  <w:style w:type="character" w:styleId="Numeropagina">
    <w:name w:val="page number"/>
    <w:rsid w:val="00737010"/>
    <w:rPr>
      <w:b/>
    </w:rPr>
  </w:style>
  <w:style w:type="paragraph" w:styleId="Elenco5">
    <w:name w:val="List 5"/>
    <w:basedOn w:val="Elenco"/>
    <w:rsid w:val="00737010"/>
    <w:pPr>
      <w:tabs>
        <w:tab w:val="left" w:pos="1800"/>
      </w:tabs>
      <w:ind w:left="1800"/>
    </w:pPr>
  </w:style>
  <w:style w:type="paragraph" w:customStyle="1" w:styleId="Immagine">
    <w:name w:val="Immagine"/>
    <w:basedOn w:val="Corpotesto"/>
    <w:rsid w:val="00737010"/>
  </w:style>
  <w:style w:type="character" w:customStyle="1" w:styleId="Position">
    <w:name w:val="Position"/>
    <w:rsid w:val="00737010"/>
    <w:rPr>
      <w:rFonts w:ascii="Arial Narrow" w:hAnsi="Arial Narrow"/>
      <w:b/>
      <w:sz w:val="22"/>
    </w:rPr>
  </w:style>
  <w:style w:type="paragraph" w:styleId="Puntoelenco2">
    <w:name w:val="List Bullet 2"/>
    <w:basedOn w:val="Puntoelenco"/>
    <w:rsid w:val="00737010"/>
    <w:pPr>
      <w:pBdr>
        <w:left w:val="single" w:sz="6" w:space="23" w:color="auto"/>
      </w:pBdr>
      <w:ind w:left="720"/>
    </w:pPr>
  </w:style>
  <w:style w:type="paragraph" w:styleId="Puntoelenco3">
    <w:name w:val="List Bullet 3"/>
    <w:basedOn w:val="Puntoelenco"/>
    <w:rsid w:val="00737010"/>
    <w:pPr>
      <w:ind w:left="1080"/>
    </w:pPr>
  </w:style>
  <w:style w:type="paragraph" w:customStyle="1" w:styleId="Risultato">
    <w:name w:val="Risultato"/>
    <w:basedOn w:val="Istituzione"/>
    <w:rsid w:val="00737010"/>
    <w:pPr>
      <w:keepNext w:val="0"/>
      <w:spacing w:before="0" w:after="80"/>
    </w:pPr>
    <w:rPr>
      <w:b w:val="0"/>
    </w:rPr>
  </w:style>
  <w:style w:type="paragraph" w:customStyle="1" w:styleId="Indirizzo">
    <w:name w:val="Indirizzo"/>
    <w:basedOn w:val="Corpotesto"/>
    <w:rsid w:val="00737010"/>
    <w:pPr>
      <w:keepLines/>
      <w:spacing w:after="0"/>
      <w:ind w:right="3240"/>
    </w:pPr>
  </w:style>
  <w:style w:type="character" w:styleId="Rimandocommento">
    <w:name w:val="annotation reference"/>
    <w:semiHidden/>
    <w:rsid w:val="00737010"/>
    <w:rPr>
      <w:sz w:val="16"/>
    </w:rPr>
  </w:style>
  <w:style w:type="paragraph" w:styleId="Testocommento">
    <w:name w:val="annotation text"/>
    <w:basedOn w:val="BaseNota"/>
    <w:semiHidden/>
    <w:rsid w:val="00737010"/>
    <w:pPr>
      <w:spacing w:after="120"/>
    </w:pPr>
    <w:rPr>
      <w:sz w:val="20"/>
    </w:rPr>
  </w:style>
  <w:style w:type="paragraph" w:styleId="Puntoelenco4">
    <w:name w:val="List Bullet 4"/>
    <w:basedOn w:val="Puntoelenco"/>
    <w:rsid w:val="00737010"/>
    <w:pPr>
      <w:ind w:left="1440"/>
    </w:pPr>
  </w:style>
  <w:style w:type="paragraph" w:styleId="Puntoelenco5">
    <w:name w:val="List Bullet 5"/>
    <w:basedOn w:val="Puntoelenco"/>
    <w:rsid w:val="00737010"/>
    <w:pPr>
      <w:ind w:left="1800"/>
    </w:pPr>
  </w:style>
  <w:style w:type="paragraph" w:customStyle="1" w:styleId="Primopuntoelenco">
    <w:name w:val="Primo punto elenco"/>
    <w:basedOn w:val="Puntoelenco"/>
    <w:next w:val="Puntoelenco"/>
    <w:rsid w:val="00737010"/>
    <w:pPr>
      <w:spacing w:before="80"/>
    </w:pPr>
  </w:style>
  <w:style w:type="paragraph" w:customStyle="1" w:styleId="Ultimaelencopuntato">
    <w:name w:val="Ultima elenco puntato"/>
    <w:basedOn w:val="Puntoelenco"/>
    <w:next w:val="Corpotesto"/>
    <w:rsid w:val="00737010"/>
    <w:pPr>
      <w:spacing w:after="240"/>
    </w:pPr>
  </w:style>
  <w:style w:type="paragraph" w:customStyle="1" w:styleId="Elencosegue">
    <w:name w:val="Elenco segue"/>
    <w:basedOn w:val="Elenco"/>
    <w:rsid w:val="00737010"/>
    <w:pPr>
      <w:pBdr>
        <w:left w:val="single" w:sz="6" w:space="23" w:color="auto"/>
      </w:pBdr>
      <w:ind w:firstLine="0"/>
    </w:pPr>
  </w:style>
  <w:style w:type="paragraph" w:customStyle="1" w:styleId="Elencosegue2">
    <w:name w:val="Elenco segue 2"/>
    <w:basedOn w:val="Elencosegue"/>
    <w:rsid w:val="00737010"/>
    <w:pPr>
      <w:pBdr>
        <w:left w:val="none" w:sz="0" w:space="0" w:color="auto"/>
      </w:pBdr>
      <w:ind w:left="720"/>
    </w:pPr>
  </w:style>
  <w:style w:type="paragraph" w:customStyle="1" w:styleId="Elencosegue3">
    <w:name w:val="Elenco segue 3"/>
    <w:basedOn w:val="Elencosegue"/>
    <w:rsid w:val="00737010"/>
    <w:pPr>
      <w:pBdr>
        <w:left w:val="none" w:sz="0" w:space="0" w:color="auto"/>
      </w:pBdr>
      <w:ind w:left="1080"/>
    </w:pPr>
  </w:style>
  <w:style w:type="paragraph" w:customStyle="1" w:styleId="Elencosegue4">
    <w:name w:val="Elenco segue 4"/>
    <w:basedOn w:val="Elencosegue"/>
    <w:rsid w:val="00737010"/>
    <w:pPr>
      <w:pBdr>
        <w:left w:val="none" w:sz="0" w:space="0" w:color="auto"/>
      </w:pBdr>
      <w:ind w:left="1440"/>
    </w:pPr>
  </w:style>
  <w:style w:type="paragraph" w:customStyle="1" w:styleId="Elencosegue5">
    <w:name w:val="Elenco segue 5"/>
    <w:basedOn w:val="Elencosegue"/>
    <w:rsid w:val="00737010"/>
    <w:pPr>
      <w:pBdr>
        <w:left w:val="none" w:sz="0" w:space="0" w:color="auto"/>
      </w:pBdr>
      <w:ind w:left="1800"/>
    </w:pPr>
  </w:style>
  <w:style w:type="paragraph" w:customStyle="1" w:styleId="Primaelenco">
    <w:name w:val="Prima elenco"/>
    <w:basedOn w:val="Elenco"/>
    <w:next w:val="Elenco"/>
    <w:rsid w:val="00737010"/>
    <w:pPr>
      <w:spacing w:before="80"/>
    </w:pPr>
  </w:style>
  <w:style w:type="paragraph" w:customStyle="1" w:styleId="Ultimaelenco">
    <w:name w:val="Ultima elenco"/>
    <w:basedOn w:val="Elenco"/>
    <w:next w:val="Corpotesto"/>
    <w:rsid w:val="00737010"/>
    <w:pPr>
      <w:spacing w:after="240"/>
    </w:pPr>
  </w:style>
  <w:style w:type="paragraph" w:styleId="Numeroelenco2">
    <w:name w:val="List Number 2"/>
    <w:basedOn w:val="Numeroelenco"/>
    <w:rsid w:val="00737010"/>
    <w:pPr>
      <w:pBdr>
        <w:left w:val="single" w:sz="6" w:space="23" w:color="auto"/>
      </w:pBdr>
      <w:ind w:left="720"/>
    </w:pPr>
  </w:style>
  <w:style w:type="paragraph" w:styleId="Numeroelenco3">
    <w:name w:val="List Number 3"/>
    <w:basedOn w:val="Numeroelenco"/>
    <w:rsid w:val="00737010"/>
    <w:pPr>
      <w:ind w:left="1080"/>
    </w:pPr>
  </w:style>
  <w:style w:type="paragraph" w:styleId="Numeroelenco4">
    <w:name w:val="List Number 4"/>
    <w:basedOn w:val="Numeroelenco"/>
    <w:rsid w:val="00737010"/>
    <w:pPr>
      <w:ind w:left="1440"/>
    </w:pPr>
  </w:style>
  <w:style w:type="paragraph" w:styleId="Numeroelenco5">
    <w:name w:val="List Number 5"/>
    <w:basedOn w:val="Numeroelenco"/>
    <w:rsid w:val="00737010"/>
    <w:pPr>
      <w:ind w:left="1800"/>
    </w:pPr>
  </w:style>
  <w:style w:type="paragraph" w:customStyle="1" w:styleId="Primonumeroelenco">
    <w:name w:val="Primo numero elenco"/>
    <w:basedOn w:val="Numeroelenco"/>
    <w:next w:val="Numeroelenco"/>
    <w:rsid w:val="00737010"/>
    <w:pPr>
      <w:spacing w:before="80"/>
    </w:pPr>
  </w:style>
  <w:style w:type="paragraph" w:customStyle="1" w:styleId="Ultimonumeroelenco">
    <w:name w:val="Ultimo numero elenco"/>
    <w:basedOn w:val="Numeroelenco"/>
    <w:next w:val="Normale"/>
    <w:rsid w:val="00737010"/>
    <w:pPr>
      <w:spacing w:after="240"/>
    </w:pPr>
  </w:style>
  <w:style w:type="paragraph" w:customStyle="1" w:styleId="Datipersonali">
    <w:name w:val="Dati personali"/>
    <w:basedOn w:val="Corpotesto"/>
    <w:rsid w:val="00737010"/>
  </w:style>
  <w:style w:type="paragraph" w:customStyle="1" w:styleId="Sottotitolodellasezione">
    <w:name w:val="Sottotitolo della sezione"/>
    <w:basedOn w:val="Titolodellasezione"/>
    <w:rsid w:val="00737010"/>
    <w:pPr>
      <w:spacing w:before="160"/>
    </w:pPr>
    <w:rPr>
      <w:sz w:val="20"/>
    </w:rPr>
  </w:style>
  <w:style w:type="paragraph" w:customStyle="1" w:styleId="Titolodellasezione">
    <w:name w:val="Titolo della sezione"/>
    <w:basedOn w:val="BaseTitolo"/>
    <w:rsid w:val="00737010"/>
    <w:pPr>
      <w:spacing w:after="0"/>
    </w:pPr>
    <w:rPr>
      <w:sz w:val="28"/>
    </w:rPr>
  </w:style>
  <w:style w:type="character" w:customStyle="1" w:styleId="Apice">
    <w:name w:val="Apice"/>
    <w:rsid w:val="00737010"/>
    <w:rPr>
      <w:vertAlign w:val="superscript"/>
    </w:rPr>
  </w:style>
  <w:style w:type="paragraph" w:customStyle="1" w:styleId="Istituzione">
    <w:name w:val="Istituzione"/>
    <w:basedOn w:val="Corpotesto"/>
    <w:rsid w:val="00737010"/>
    <w:pPr>
      <w:keepNext/>
      <w:spacing w:before="160" w:after="0"/>
    </w:pPr>
    <w:rPr>
      <w:b/>
    </w:rPr>
  </w:style>
  <w:style w:type="paragraph" w:customStyle="1" w:styleId="Ultimopuntoelenco">
    <w:name w:val="Ultimo punto elenco"/>
    <w:basedOn w:val="Puntoelenco"/>
    <w:next w:val="Corpotesto"/>
    <w:rsid w:val="00737010"/>
    <w:pPr>
      <w:spacing w:after="240"/>
    </w:pPr>
  </w:style>
  <w:style w:type="paragraph" w:customStyle="1" w:styleId="Corpodeltesto21">
    <w:name w:val="Corpo del testo 21"/>
    <w:basedOn w:val="Normale"/>
    <w:rsid w:val="00737010"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737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7010"/>
    <w:rPr>
      <w:color w:val="0000FF"/>
      <w:u w:val="single"/>
    </w:rPr>
  </w:style>
  <w:style w:type="character" w:customStyle="1" w:styleId="Titolo6Carattere">
    <w:name w:val="Titolo 6 Carattere"/>
    <w:link w:val="Titolo6"/>
    <w:uiPriority w:val="9"/>
    <w:semiHidden/>
    <w:rsid w:val="00B96E8C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character" w:customStyle="1" w:styleId="Titolo1Carattere">
    <w:name w:val="Titolo 1 Carattere"/>
    <w:link w:val="Titolo1"/>
    <w:uiPriority w:val="9"/>
    <w:rsid w:val="00B96E8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olo">
    <w:name w:val="Title"/>
    <w:basedOn w:val="Normale"/>
    <w:link w:val="TitoloCarattere"/>
    <w:qFormat/>
    <w:rsid w:val="00B96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oloCarattere">
    <w:name w:val="Titolo Carattere"/>
    <w:link w:val="Titolo"/>
    <w:rsid w:val="00B96E8C"/>
    <w:rPr>
      <w:b/>
      <w:bCs/>
      <w:sz w:val="28"/>
      <w:szCs w:val="22"/>
    </w:rPr>
  </w:style>
  <w:style w:type="paragraph" w:customStyle="1" w:styleId="Sezione-1">
    <w:name w:val="Sezione-1"/>
    <w:basedOn w:val="Elenco"/>
    <w:next w:val="Normale"/>
    <w:qFormat/>
    <w:rsid w:val="00B96E8C"/>
    <w:pPr>
      <w:keepNext/>
      <w:numPr>
        <w:numId w:val="2"/>
      </w:numPr>
      <w:spacing w:before="480" w:after="240" w:line="36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lism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anpaolo.fontana@uniroma3.it" TargetMode="External"/><Relationship Id="rId12" Type="http://schemas.openxmlformats.org/officeDocument/2006/relationships/hyperlink" Target="http://www.federalism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alism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iu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bientediritt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Gianpaolo Fontana</vt:lpstr>
    </vt:vector>
  </TitlesOfParts>
  <Company/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Gianpaolo Fontana</dc:title>
  <dc:creator>utente 1</dc:creator>
  <cp:lastModifiedBy>Gianpaolo Fontana</cp:lastModifiedBy>
  <cp:revision>2</cp:revision>
  <cp:lastPrinted>2019-06-17T14:23:00Z</cp:lastPrinted>
  <dcterms:created xsi:type="dcterms:W3CDTF">2020-11-19T10:32:00Z</dcterms:created>
  <dcterms:modified xsi:type="dcterms:W3CDTF">2020-11-19T10:32:00Z</dcterms:modified>
</cp:coreProperties>
</file>